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0"/>
        <w:rPr>
          <w:rFonts w:ascii="Arial"/>
          <w:sz w:val="21"/>
        </w:rPr>
      </w:pPr>
      <w:r>
        <w:rPr>
          <w:spacing w:val="-2"/>
          <w:sz w:val="32"/>
          <w:szCs w:val="32"/>
        </w:rPr>
        <w:t>2024《初级会计实务》三色笔记</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b/>
          <w:bCs/>
          <w:sz w:val="28"/>
          <w:szCs w:val="28"/>
        </w:rPr>
      </w:pPr>
      <w:r>
        <w:rPr>
          <w:b/>
          <w:bCs/>
          <w:sz w:val="28"/>
          <w:szCs w:val="28"/>
        </w:rPr>
        <w:t>第一章</w:t>
      </w:r>
      <w:r>
        <w:rPr>
          <w:rFonts w:hint="eastAsia"/>
          <w:b/>
          <w:bCs/>
          <w:sz w:val="28"/>
          <w:szCs w:val="28"/>
          <w:lang w:val="en-US" w:eastAsia="zh-CN"/>
        </w:rPr>
        <w:t xml:space="preserve"> </w:t>
      </w:r>
      <w:r>
        <w:rPr>
          <w:b/>
          <w:bCs/>
          <w:sz w:val="28"/>
          <w:szCs w:val="28"/>
        </w:rPr>
        <w:t>概述</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FF0000"/>
          <w:spacing w:val="-1"/>
        </w:rPr>
        <w:t>红：重难点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00B050"/>
          <w:spacing w:val="-1"/>
        </w:rPr>
        <w:t>绿：易错</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00B0F0"/>
          <w:spacing w:val="-1"/>
        </w:rPr>
        <w:t>黑：需要记忆</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14"/>
        </w:rPr>
        <w:t>1、会计主要的计量单位：</w:t>
      </w:r>
      <w:r>
        <w:rPr>
          <w:color w:val="00B0F0"/>
          <w:spacing w:val="-14"/>
        </w:rPr>
        <w:t>货币</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t>2、会计的主要目标：提供会计资料和信息，反映企业管理层受托责任履行情况。</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13"/>
        </w:rPr>
        <w:t>3、会计的基本职能：</w:t>
      </w:r>
      <w:r>
        <w:rPr>
          <w:color w:val="FF0000"/>
          <w:spacing w:val="-13"/>
        </w:rPr>
        <w:t>核算与监督</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4"/>
        </w:rPr>
        <w:t>4、会计基本职能之间的关系：</w:t>
      </w:r>
      <w:r>
        <w:rPr>
          <w:color w:val="FF0000"/>
          <w:spacing w:val="-4"/>
        </w:rPr>
        <w:t>核算是监督的基础，监督是核算质量的保障</w:t>
      </w:r>
      <w:r>
        <w:rPr>
          <w:spacing w:val="-4"/>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6"/>
        </w:rPr>
        <w:t>5、会计的拓展职能包括哪些？</w:t>
      </w:r>
      <w:r>
        <w:rPr>
          <w:color w:val="00B0F0"/>
          <w:spacing w:val="-6"/>
        </w:rPr>
        <w:t>参与经济决策、预测经济前景、评价经营业绩。</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3"/>
        </w:rPr>
      </w:pPr>
      <w:r>
        <w:rPr>
          <w:spacing w:val="-3"/>
        </w:rPr>
        <w:t>6、划分权责发生制和收付实现制的基础：会计分期假设。</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3"/>
        </w:rPr>
        <w:t>7、可比性、实质重于形式和谨慎原则的举例：</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2"/>
        </w:rPr>
      </w:pPr>
      <w:r>
        <w:rPr>
          <w:spacing w:val="-1"/>
        </w:rPr>
        <w:t>可比性：可比性前后各期会计政策保持一致</w:t>
      </w:r>
      <w:r>
        <w:rPr>
          <w:spacing w:val="-2"/>
        </w:rPr>
        <w:t>，不得</w:t>
      </w:r>
      <w:r>
        <w:rPr>
          <w:color w:val="FF0000"/>
          <w:spacing w:val="-2"/>
        </w:rPr>
        <w:t>随意</w:t>
      </w:r>
      <w:r>
        <w:rPr>
          <w:spacing w:val="-2"/>
        </w:rPr>
        <w:t>变更；</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5"/>
        </w:rPr>
        <w:t>实质重于形式：</w:t>
      </w:r>
      <w:r>
        <w:rPr>
          <w:color w:val="FF0000"/>
          <w:spacing w:val="-5"/>
        </w:rPr>
        <w:t>将租入资产（短期租赁和低值资产租赁除外）按照自有资产</w:t>
      </w:r>
      <w:r>
        <w:rPr>
          <w:color w:val="FF0000"/>
          <w:spacing w:val="-6"/>
        </w:rPr>
        <w:t>核算</w:t>
      </w:r>
      <w:r>
        <w:rPr>
          <w:color w:val="auto"/>
          <w:spacing w:val="-6"/>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3"/>
        </w:rPr>
      </w:pPr>
      <w:r>
        <w:rPr>
          <w:spacing w:val="-3"/>
        </w:rPr>
        <w:t>谨慎原则：各项资产计提减值准备、固定资产加速折旧。</w:t>
      </w:r>
    </w:p>
    <w:p>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0" w:right="0"/>
        <w:jc w:val="left"/>
        <w:textAlignment w:val="baseline"/>
        <w:rPr>
          <w:spacing w:val="-3"/>
        </w:rPr>
      </w:pPr>
      <w:r>
        <w:rPr>
          <w:spacing w:val="-3"/>
        </w:rPr>
        <w:t>会计职业道德与会计法律制度的联系：</w:t>
      </w:r>
    </w:p>
    <w:p>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rFonts w:ascii="Arial"/>
          <w:sz w:val="21"/>
        </w:rPr>
      </w:pPr>
      <w:r>
        <w:rPr>
          <w:spacing w:val="-1"/>
        </w:rPr>
        <w:t>会计职业道德与会计法律制度在内容上相互渗透、相互吸收；在作用上相互补</w:t>
      </w:r>
      <w:r>
        <w:rPr>
          <w:spacing w:val="-2"/>
        </w:rPr>
        <w:t>充、相互协调。</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00B050"/>
          <w:spacing w:val="-1"/>
        </w:rPr>
        <w:t>会计职业道德</w:t>
      </w:r>
      <w:r>
        <w:rPr>
          <w:spacing w:val="-1"/>
        </w:rPr>
        <w:t>是会计法律制度的</w:t>
      </w:r>
      <w:r>
        <w:rPr>
          <w:color w:val="00B050"/>
          <w:spacing w:val="-1"/>
        </w:rPr>
        <w:t>重要补充</w:t>
      </w:r>
      <w:r>
        <w:rPr>
          <w:spacing w:val="-1"/>
        </w:rPr>
        <w:t>，</w:t>
      </w:r>
      <w:r>
        <w:rPr>
          <w:color w:val="00B050"/>
          <w:spacing w:val="-1"/>
        </w:rPr>
        <w:t>会计法律制度</w:t>
      </w:r>
      <w:r>
        <w:rPr>
          <w:spacing w:val="-1"/>
        </w:rPr>
        <w:t>是会计职业道德的</w:t>
      </w:r>
      <w:r>
        <w:rPr>
          <w:color w:val="00B050"/>
          <w:spacing w:val="-1"/>
        </w:rPr>
        <w:t>最低要求</w:t>
      </w:r>
      <w:r>
        <w:rPr>
          <w:spacing w:val="-1"/>
        </w:rPr>
        <w:t>，是会计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5"/>
        </w:rPr>
      </w:pPr>
      <w:r>
        <w:rPr>
          <w:spacing w:val="-5"/>
        </w:rPr>
        <w:t>职业道德的基本制度保障。</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hint="eastAsia" w:eastAsia="微软雅黑"/>
          <w:color w:val="00B0F0"/>
          <w:spacing w:val="-10"/>
          <w:lang w:eastAsia="zh-CN"/>
        </w:rPr>
      </w:pPr>
      <w:r>
        <w:rPr>
          <w:spacing w:val="-5"/>
        </w:rPr>
        <w:t>会计职业道德的内容：</w:t>
      </w:r>
      <w:r>
        <w:rPr>
          <w:color w:val="00B0F0"/>
          <w:spacing w:val="-5"/>
        </w:rPr>
        <w:t>爱岗敬业、诚实守信、廉洁自律、客观公正、坚持准则、提高技能、参与管理、强化</w:t>
      </w:r>
      <w:r>
        <w:rPr>
          <w:color w:val="00B0F0"/>
          <w:spacing w:val="-10"/>
        </w:rPr>
        <w:t>服务等。</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10"/>
        </w:rPr>
        <w:t>11、内部控制要素包括：</w:t>
      </w:r>
      <w:r>
        <w:rPr>
          <w:color w:val="00B0F0"/>
          <w:spacing w:val="-2"/>
        </w:rPr>
        <w:t>内部环境、风险评估、控制活动、信息与沟通和内部监督</w:t>
      </w:r>
      <w:r>
        <w:rPr>
          <w:spacing w:val="-2"/>
        </w:rPr>
        <w:t>等。</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9"/>
        </w:rPr>
      </w:pP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9"/>
        </w:rPr>
      </w:pP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b/>
          <w:bCs/>
          <w:spacing w:val="-9"/>
          <w:sz w:val="28"/>
          <w:szCs w:val="28"/>
        </w:rPr>
      </w:pPr>
      <w:r>
        <w:rPr>
          <w:b/>
          <w:bCs/>
          <w:spacing w:val="-9"/>
          <w:sz w:val="28"/>
          <w:szCs w:val="28"/>
        </w:rPr>
        <w:t>第二章会计基础</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9"/>
        </w:rPr>
        <w:t>1、资产的特征，哪些不属于资产？</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4"/>
        </w:rPr>
        <w:t>（1）资产应为企业</w:t>
      </w:r>
      <w:r>
        <w:rPr>
          <w:color w:val="00B0F0"/>
          <w:spacing w:val="-4"/>
        </w:rPr>
        <w:t>拥有或者控制</w:t>
      </w:r>
      <w:r>
        <w:rPr>
          <w:spacing w:val="-4"/>
        </w:rPr>
        <w:t>的资源；</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4"/>
        </w:rPr>
      </w:pPr>
      <w:r>
        <w:rPr>
          <w:spacing w:val="-4"/>
        </w:rPr>
        <w:t>（2）资产预期会给企业</w:t>
      </w:r>
      <w:r>
        <w:rPr>
          <w:color w:val="00B0F0"/>
          <w:spacing w:val="-4"/>
        </w:rPr>
        <w:t>带来经济利益</w:t>
      </w:r>
      <w:r>
        <w:rPr>
          <w:spacing w:val="-4"/>
        </w:rPr>
        <w:t>（直接或间接）；</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4"/>
        </w:rPr>
        <w:t>（3）资产是企业</w:t>
      </w:r>
      <w:r>
        <w:rPr>
          <w:color w:val="00B0F0"/>
          <w:spacing w:val="-4"/>
        </w:rPr>
        <w:t>过去</w:t>
      </w:r>
      <w:r>
        <w:rPr>
          <w:spacing w:val="-4"/>
        </w:rPr>
        <w:t>的交易或事项形成。</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5"/>
        </w:rPr>
        <w:t>2、收入和费用的日常活动包括：</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1"/>
        </w:rPr>
      </w:pPr>
      <w:r>
        <w:rPr>
          <w:spacing w:val="-1"/>
        </w:rPr>
        <w:t>收入按企业经营业务的主次不同，分为</w:t>
      </w:r>
      <w:r>
        <w:rPr>
          <w:color w:val="00B0F0"/>
          <w:spacing w:val="-1"/>
        </w:rPr>
        <w:t>主营业务收入</w:t>
      </w:r>
      <w:r>
        <w:rPr>
          <w:color w:val="000000" w:themeColor="text1"/>
          <w:spacing w:val="-1"/>
          <w14:textFill>
            <w14:solidFill>
              <w14:schemeClr w14:val="tx1"/>
            </w14:solidFill>
          </w14:textFill>
        </w:rPr>
        <w:t>和</w:t>
      </w:r>
      <w:r>
        <w:rPr>
          <w:color w:val="00B0F0"/>
          <w:spacing w:val="-1"/>
        </w:rPr>
        <w:t>其他业务收入</w:t>
      </w:r>
      <w:r>
        <w:rPr>
          <w:spacing w:val="-1"/>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1"/>
        </w:rPr>
        <w:t>费用包括</w:t>
      </w:r>
      <w:r>
        <w:rPr>
          <w:color w:val="00B0F0"/>
          <w:spacing w:val="-1"/>
        </w:rPr>
        <w:t>营业成本</w:t>
      </w:r>
      <w:r>
        <w:rPr>
          <w:spacing w:val="-1"/>
        </w:rPr>
        <w:t>、</w:t>
      </w:r>
      <w:r>
        <w:rPr>
          <w:color w:val="00B0F0"/>
          <w:spacing w:val="-1"/>
        </w:rPr>
        <w:t>税金及附加</w:t>
      </w:r>
      <w:r>
        <w:rPr>
          <w:spacing w:val="-1"/>
        </w:rPr>
        <w:t>和</w:t>
      </w:r>
      <w:r>
        <w:rPr>
          <w:color w:val="00B0F0"/>
          <w:spacing w:val="-1"/>
        </w:rPr>
        <w:t>期间费用</w:t>
      </w:r>
      <w:r>
        <w:rPr>
          <w:spacing w:val="-1"/>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3"/>
        </w:rPr>
        <w:t>3、会计科目按反映经济内容的性质不同的分类：</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2"/>
        </w:rPr>
      </w:pPr>
      <w:r>
        <w:rPr>
          <w:spacing w:val="-2"/>
        </w:rPr>
        <w:t>可以分为</w:t>
      </w:r>
      <w:r>
        <w:rPr>
          <w:color w:val="00B0F0"/>
          <w:spacing w:val="-2"/>
        </w:rPr>
        <w:t>资产类、负债类、共同类、所有者权益类、成本类、损益类</w:t>
      </w:r>
      <w:r>
        <w:rPr>
          <w:spacing w:val="-2"/>
        </w:rPr>
        <w:t>六大类。</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8"/>
        </w:rPr>
        <w:t>4、账户余额和发生额的计算公式（计算解方程</w:t>
      </w:r>
      <w:r>
        <w:rPr>
          <w:spacing w:val="2"/>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1"/>
        </w:rPr>
        <w:t>本期期初余额+本期增加发生额-本期减少发生额=</w:t>
      </w:r>
      <w:r>
        <w:rPr>
          <w:spacing w:val="-2"/>
        </w:rPr>
        <w:t>本期期末余额</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4"/>
        </w:rPr>
      </w:pPr>
      <w:r>
        <w:rPr>
          <w:spacing w:val="-4"/>
        </w:rPr>
        <w:t>5、成本类账户的内容：“生产成本”“制造费用”“劳务成本”“研发支出”等科目。</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4"/>
        </w:rPr>
        <w:t>6、所有者权益类账户的内容：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color w:val="00B0F0"/>
          <w:spacing w:val="-5"/>
        </w:rPr>
        <w:t>“实收资本”（或“股本”）、“资本公积”、“其他综合收益”</w:t>
      </w:r>
      <w:r>
        <w:rPr>
          <w:color w:val="00B0F0"/>
          <w:spacing w:val="-6"/>
        </w:rPr>
        <w:t>、“盈余公积”、“本年利</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00B0F0"/>
          <w:spacing w:val="-1"/>
        </w:rPr>
        <w:t>润”、“利润</w:t>
      </w:r>
      <w:r>
        <w:rPr>
          <w:color w:val="00B0F0"/>
          <w:spacing w:val="-3"/>
        </w:rPr>
        <w:t>分配”、“库存股”</w:t>
      </w:r>
      <w:r>
        <w:rPr>
          <w:spacing w:val="-3"/>
        </w:rPr>
        <w:t>等科目。</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4"/>
        </w:rPr>
        <w:t>7、在借贷记账法下，账户的哪方记增加，哪方</w:t>
      </w:r>
      <w:r>
        <w:rPr>
          <w:spacing w:val="-5"/>
        </w:rPr>
        <w:t>登记减少，取决于什么？</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00B050"/>
          <w:spacing w:val="-3"/>
        </w:rPr>
        <w:t>取决于账户的性质与所记录经济内容的性质。</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5"/>
        </w:rPr>
        <w:t>8、试算平衡的公式及结论：</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FF0000"/>
          <w:spacing w:val="-6"/>
        </w:rPr>
        <w:t>①发生额试算平衡：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00B0F0"/>
        </w:rPr>
        <w:t>全部账户本期借方发生额合计＝全部账户本期贷方</w:t>
      </w:r>
      <w:r>
        <w:rPr>
          <w:color w:val="00B0F0"/>
          <w:spacing w:val="-1"/>
        </w:rPr>
        <w:t>发生额合计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FF0000"/>
          <w:spacing w:val="-6"/>
        </w:rPr>
        <w:t>②余额试算平衡：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00B0F0"/>
        </w:rPr>
        <w:t>全部账户借方期末（初）余额合计＝全部账户贷方期末（初</w:t>
      </w:r>
      <w:r>
        <w:rPr>
          <w:color w:val="00B0F0"/>
          <w:spacing w:val="-1"/>
        </w:rPr>
        <w:t>）余额合计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3"/>
        </w:rPr>
        <w:t>2个发生额平衡+2个余额平衡：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color w:val="00B050"/>
          <w:spacing w:val="-5"/>
          <w:position w:val="39"/>
        </w:rPr>
        <w:t>不平衡一定有错；平衡不一定没错，因为有些错误不影响平衡关系，</w:t>
      </w:r>
      <w:r>
        <w:rPr>
          <w:spacing w:val="-5"/>
          <w:position w:val="39"/>
        </w:rPr>
        <w:t>例如：</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5"/>
        </w:rPr>
        <w:t>（1）</w:t>
      </w:r>
      <w:r>
        <w:rPr>
          <w:color w:val="00B050"/>
          <w:spacing w:val="-5"/>
        </w:rPr>
        <w:t>漏记</w:t>
      </w:r>
      <w:r>
        <w:rPr>
          <w:spacing w:val="-5"/>
        </w:rPr>
        <w:t>某项经济业务；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5"/>
        </w:rPr>
      </w:pPr>
      <w:r>
        <w:rPr>
          <w:spacing w:val="-5"/>
        </w:rPr>
        <w:t>（2）</w:t>
      </w:r>
      <w:r>
        <w:rPr>
          <w:color w:val="00B050"/>
          <w:spacing w:val="-5"/>
        </w:rPr>
        <w:t>重记</w:t>
      </w:r>
      <w:r>
        <w:rPr>
          <w:spacing w:val="-5"/>
        </w:rPr>
        <w:t>某项经济业务；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4"/>
        </w:rPr>
        <w:t>（3）某项经济业务</w:t>
      </w:r>
      <w:r>
        <w:rPr>
          <w:color w:val="00B050"/>
          <w:spacing w:val="-4"/>
        </w:rPr>
        <w:t>记错</w:t>
      </w:r>
      <w:r>
        <w:rPr>
          <w:spacing w:val="-4"/>
        </w:rPr>
        <w:t>有关账户；</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9"/>
        </w:rPr>
        <w:t>（4）某项经济业务在账户记录中，</w:t>
      </w:r>
      <w:r>
        <w:rPr>
          <w:color w:val="00B050"/>
          <w:spacing w:val="-9"/>
        </w:rPr>
        <w:t>颠倒</w:t>
      </w:r>
      <w:r>
        <w:rPr>
          <w:spacing w:val="-9"/>
        </w:rPr>
        <w:t>了记账方向；</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3"/>
        </w:rPr>
      </w:pPr>
      <w:r>
        <w:rPr>
          <w:spacing w:val="-3"/>
        </w:rPr>
        <w:t>（5）借方或贷方发生额中，偶然发生多记和少记并相互抵销，借贷仍然平衡；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3"/>
        </w:rPr>
        <w:t>（6）某项经济业务</w:t>
      </w:r>
      <w:r>
        <w:rPr>
          <w:color w:val="00B050"/>
          <w:spacing w:val="-3"/>
        </w:rPr>
        <w:t>同时</w:t>
      </w:r>
      <w:r>
        <w:rPr>
          <w:spacing w:val="-3"/>
        </w:rPr>
        <w:t>借贷双方多记或少记相同金额。</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6"/>
        </w:rPr>
        <w:t>9、哪些是外来、自制原始凭证？哪些不属于原始凭证？</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00B0F0"/>
        </w:rPr>
        <w:t>外来原始凭证</w:t>
      </w:r>
      <w:r>
        <w:t>例如：取得的增值税专用发票，职工出差报销的</w:t>
      </w:r>
      <w:r>
        <w:rPr>
          <w:color w:val="00B0F0"/>
        </w:rPr>
        <w:t>飞机票、火车票和餐饮费</w:t>
      </w:r>
      <w:r>
        <w:rPr>
          <w:color w:val="00B0F0"/>
          <w:spacing w:val="-1"/>
        </w:rPr>
        <w:t>发票</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6"/>
        </w:rPr>
        <w:t>等。</w:t>
      </w:r>
      <w:r>
        <w:rPr>
          <w:color w:val="00B0F0"/>
          <w:spacing w:val="-6"/>
        </w:rPr>
        <w:t>自制原始凭证</w:t>
      </w:r>
      <w:r>
        <w:rPr>
          <w:spacing w:val="-6"/>
        </w:rPr>
        <w:t>例如：</w:t>
      </w:r>
      <w:r>
        <w:rPr>
          <w:color w:val="00B0F0"/>
          <w:spacing w:val="-6"/>
        </w:rPr>
        <w:t>产品入库单、领料单、借款单、工资发放明细表、制造费用分配表</w:t>
      </w:r>
      <w:r>
        <w:rPr>
          <w:spacing w:val="-1"/>
        </w:rPr>
        <w:t>等。凡是不能证明经济业务已经完成的文件或证明，不能作为会计核算的依据。如：经济合同、材料请购单、生产通知单、银行对账单等。</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4"/>
        </w:rPr>
        <w:t>10、现金和银行存款之间业务如何填制</w:t>
      </w:r>
      <w:r>
        <w:rPr>
          <w:spacing w:val="-5"/>
        </w:rPr>
        <w:t>记账凭证？</w:t>
      </w:r>
    </w:p>
    <w:p>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spacing w:val="-2"/>
          <w:position w:val="15"/>
        </w:rPr>
      </w:pPr>
      <w:r>
        <w:rPr>
          <w:spacing w:val="-1"/>
          <w:position w:val="15"/>
        </w:rPr>
        <w:t>同时涉及现金和银行存款的业务，为避免重复入账，只</w:t>
      </w:r>
      <w:r>
        <w:rPr>
          <w:spacing w:val="-2"/>
          <w:position w:val="15"/>
        </w:rPr>
        <w:t>编制“付款凭证”，不编制“收款凭</w:t>
      </w:r>
    </w:p>
    <w:p>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spacing w:val="-2"/>
          <w:position w:val="15"/>
        </w:rPr>
      </w:pPr>
      <w:r>
        <w:rPr>
          <w:spacing w:val="-2"/>
          <w:position w:val="15"/>
        </w:rPr>
        <w:t>证”。从银行提取现金，编制银行付款凭证；将现金存入银行，编制现金付款凭证。</w:t>
      </w:r>
    </w:p>
    <w:p>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color w:val="00B050"/>
          <w:spacing w:val="-7"/>
        </w:rPr>
      </w:pPr>
      <w:r>
        <w:rPr>
          <w:rFonts w:hint="eastAsia"/>
          <w:spacing w:val="-7"/>
          <w:lang w:val="en-US" w:eastAsia="zh-CN"/>
        </w:rPr>
        <w:t>11、</w:t>
      </w:r>
      <w:r>
        <w:rPr>
          <w:spacing w:val="-7"/>
        </w:rPr>
        <w:t>哪些记账凭证不需要附原始凭证？</w:t>
      </w:r>
      <w:r>
        <w:rPr>
          <w:color w:val="00B050"/>
          <w:spacing w:val="-7"/>
        </w:rPr>
        <w:t>结账和更正错误。</w:t>
      </w:r>
    </w:p>
    <w:p>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rFonts w:ascii="Arial"/>
          <w:sz w:val="21"/>
        </w:rPr>
      </w:pPr>
      <w:r>
        <w:rPr>
          <w:spacing w:val="-7"/>
        </w:rPr>
        <w:t>12、账簿按账页格式和外形特</w:t>
      </w:r>
      <w:r>
        <w:rPr>
          <w:spacing w:val="-5"/>
        </w:rPr>
        <w:t>征</w:t>
      </w:r>
      <w:r>
        <w:rPr>
          <w:spacing w:val="-11"/>
        </w:rPr>
        <w:t>分类：</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00B0F0"/>
          <w:spacing w:val="-2"/>
        </w:rPr>
        <w:t>账页格式：三栏、多栏、数量金额；外形特征：订本、活页、卡片。</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spacing w:val="-5"/>
        </w:rPr>
        <w:t>13、账账核对和账实核对内容：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2"/>
        </w:rPr>
        <w:t>账账：总账之间、总账与明细账、总账与日记账、明细账与明细账。</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auto"/>
          <w:spacing w:val="-1"/>
        </w:rPr>
        <w:t>账实：</w:t>
      </w:r>
      <w:r>
        <w:rPr>
          <w:color w:val="00B0F0"/>
          <w:spacing w:val="-1"/>
        </w:rPr>
        <w:t>①现金日记账与现金实有数、②银行存款日记账与对账单、③各项财产账面余额与实有</w:t>
      </w:r>
      <w:r>
        <w:rPr>
          <w:color w:val="00B0F0"/>
          <w:spacing w:val="-7"/>
          <w:w w:val="98"/>
        </w:rPr>
        <w:t>数额定期核对、④债权债务与对方单位核对。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7"/>
        </w:rPr>
        <w:t>14、错账更正方法：</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00B0F0"/>
          <w:spacing w:val="-1"/>
        </w:rPr>
        <w:t>划线更正法、红字更正法和补充登记法</w:t>
      </w:r>
      <w:r>
        <w:rPr>
          <w:spacing w:val="-1"/>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5"/>
        </w:rPr>
      </w:pPr>
      <w:r>
        <w:rPr>
          <w:spacing w:val="-5"/>
        </w:rPr>
        <w:t>15、财产清查的分类：全面与局部；定期与不定期；内部和外部。</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5"/>
        </w:rPr>
        <w:t>16、各主要资产清查的方法：</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4"/>
        </w:rPr>
        <w:t>（1）</w:t>
      </w:r>
      <w:r>
        <w:rPr>
          <w:color w:val="00B0F0"/>
          <w:spacing w:val="-4"/>
        </w:rPr>
        <w:t>现金</w:t>
      </w:r>
      <w:r>
        <w:rPr>
          <w:spacing w:val="-4"/>
        </w:rPr>
        <w:t>通过</w:t>
      </w:r>
      <w:r>
        <w:rPr>
          <w:color w:val="00B0F0"/>
          <w:spacing w:val="-4"/>
        </w:rPr>
        <w:t>实地盘点</w:t>
      </w:r>
      <w:r>
        <w:rPr>
          <w:spacing w:val="-4"/>
        </w:rPr>
        <w:t>的方法核对。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2"/>
        </w:rPr>
      </w:pPr>
      <w:r>
        <w:rPr>
          <w:spacing w:val="-2"/>
        </w:rPr>
        <w:t>（2）银行存款的清查：通过与开户银行转来的对账单进行核对。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2"/>
        </w:rPr>
        <w:t>（3）</w:t>
      </w:r>
      <w:r>
        <w:rPr>
          <w:color w:val="00B0F0"/>
          <w:spacing w:val="-2"/>
        </w:rPr>
        <w:t>实物资产</w:t>
      </w:r>
      <w:r>
        <w:rPr>
          <w:spacing w:val="-2"/>
        </w:rPr>
        <w:t>的清查方法：采用</w:t>
      </w:r>
      <w:r>
        <w:rPr>
          <w:color w:val="00B0F0"/>
          <w:spacing w:val="-2"/>
        </w:rPr>
        <w:t>实地盘点法</w:t>
      </w:r>
      <w:r>
        <w:rPr>
          <w:spacing w:val="-2"/>
        </w:rPr>
        <w:t>和</w:t>
      </w:r>
      <w:r>
        <w:rPr>
          <w:color w:val="00B0F0"/>
          <w:spacing w:val="-2"/>
        </w:rPr>
        <w:t>技术推算法</w:t>
      </w:r>
      <w:r>
        <w:rPr>
          <w:spacing w:val="-2"/>
        </w:rPr>
        <w:t>两种。</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3"/>
        </w:rPr>
        <w:t>（4）</w:t>
      </w:r>
      <w:r>
        <w:rPr>
          <w:color w:val="00B0F0"/>
          <w:spacing w:val="-3"/>
        </w:rPr>
        <w:t>往来款项</w:t>
      </w:r>
      <w:r>
        <w:rPr>
          <w:spacing w:val="-3"/>
        </w:rPr>
        <w:t>的清查一般采用</w:t>
      </w:r>
      <w:r>
        <w:rPr>
          <w:color w:val="00B0F0"/>
          <w:spacing w:val="-3"/>
        </w:rPr>
        <w:t>发函询</w:t>
      </w:r>
      <w:r>
        <w:rPr>
          <w:spacing w:val="-3"/>
        </w:rPr>
        <w:t>证的方法进行核对。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3"/>
        </w:rPr>
        <w:t>17、产品成本核算对象：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4"/>
        </w:rPr>
        <w:t>一般情况下，对制造业企业而言：</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6"/>
        </w:rPr>
        <w:t>（1）大批大量单步骤生产产品或管理上不要求提供有关生产步骤成本信息的，以产品品种为成本核算对象；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2"/>
        </w:rPr>
        <w:t>（2）</w:t>
      </w:r>
      <w:r>
        <w:rPr>
          <w:color w:val="00B0F0"/>
          <w:spacing w:val="-2"/>
        </w:rPr>
        <w:t>小批单件</w:t>
      </w:r>
      <w:r>
        <w:rPr>
          <w:spacing w:val="-2"/>
        </w:rPr>
        <w:t>生产产品的，以</w:t>
      </w:r>
      <w:r>
        <w:rPr>
          <w:color w:val="00B0F0"/>
          <w:spacing w:val="-2"/>
        </w:rPr>
        <w:t>每批或每件产品</w:t>
      </w:r>
      <w:r>
        <w:rPr>
          <w:spacing w:val="-2"/>
        </w:rPr>
        <w:t>为成本</w:t>
      </w:r>
      <w:r>
        <w:rPr>
          <w:spacing w:val="-3"/>
        </w:rPr>
        <w:t>核算对象；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spacing w:val="-1"/>
        </w:rPr>
        <w:t>（3）多</w:t>
      </w:r>
      <w:r>
        <w:rPr>
          <w:color w:val="00B0F0"/>
          <w:spacing w:val="-1"/>
        </w:rPr>
        <w:t>步骤</w:t>
      </w:r>
      <w:r>
        <w:rPr>
          <w:spacing w:val="-1"/>
        </w:rPr>
        <w:t>连续加工产品且管理上要求提供有关生产步骤成本信息的，以每种产品及</w:t>
      </w:r>
      <w:r>
        <w:rPr>
          <w:color w:val="00B0F0"/>
          <w:spacing w:val="-1"/>
        </w:rPr>
        <w:t>各生产</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8"/>
        </w:rPr>
      </w:pPr>
      <w:r>
        <w:rPr>
          <w:color w:val="00B0F0"/>
          <w:spacing w:val="-4"/>
        </w:rPr>
        <w:t>步骤</w:t>
      </w:r>
      <w:r>
        <w:rPr>
          <w:spacing w:val="-4"/>
        </w:rPr>
        <w:t>为成本核算对象</w:t>
      </w:r>
      <w:r>
        <w:rPr>
          <w:spacing w:val="8"/>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spacing w:val="8"/>
        </w:rPr>
        <w:t>（</w:t>
      </w:r>
      <w:r>
        <w:rPr>
          <w:spacing w:val="-4"/>
        </w:rPr>
        <w:t>4）产品规格繁多的，可将产品结构、耗用原材料和工艺过程基本相同的各种产品，适当合并作为成本核算对象。</w:t>
      </w:r>
    </w:p>
    <w:tbl>
      <w:tblPr>
        <w:tblStyle w:val="6"/>
        <w:tblW w:w="99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1"/>
        <w:gridCol w:w="878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1151" w:type="dxa"/>
            <w:vMerge w:val="restart"/>
            <w:tcBorders>
              <w:bottom w:val="nil"/>
            </w:tcBorders>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t>直接分</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t>配法</w:t>
            </w:r>
          </w:p>
        </w:tc>
        <w:tc>
          <w:tcPr>
            <w:tcW w:w="8786"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pPr>
            <w:r>
              <w:t>特点：不考虑各辅助生产车间，将发生的辅助生产费用直接分配给辅助生产以外的各个受益单位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1151"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ascii="Arial"/>
                <w:sz w:val="21"/>
              </w:rPr>
            </w:pPr>
          </w:p>
        </w:tc>
        <w:tc>
          <w:tcPr>
            <w:tcW w:w="8786"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ascii="Arial"/>
                <w:sz w:val="21"/>
              </w:rPr>
            </w:pPr>
            <w:r>
              <w:rPr>
                <w:spacing w:val="-2"/>
              </w:rPr>
              <w:t>单位成本=待分配费用/对外供应劳务数量</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pPr>
            <w:r>
              <w:t>注意：供应数量去掉“辅助间”耗费，费用全</w:t>
            </w:r>
            <w:r>
              <w:rPr>
                <w:spacing w:val="-1"/>
              </w:rPr>
              <w:t>由外部摊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1151"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ascii="Arial"/>
                <w:sz w:val="21"/>
              </w:rPr>
            </w:pPr>
          </w:p>
        </w:tc>
        <w:tc>
          <w:tcPr>
            <w:tcW w:w="8786"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ascii="Arial"/>
                <w:sz w:val="21"/>
              </w:rPr>
            </w:pPr>
            <w:r>
              <w:rPr>
                <w:color w:val="00B050"/>
                <w:spacing w:val="-1"/>
              </w:rPr>
              <w:t>优点：分配一次，计算简单</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pPr>
            <w:r>
              <w:rPr>
                <w:color w:val="00B050"/>
                <w:spacing w:val="-1"/>
              </w:rPr>
              <w:t>缺点：分配结果不够准确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1151"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ascii="Arial"/>
                <w:sz w:val="21"/>
              </w:rPr>
            </w:pPr>
          </w:p>
        </w:tc>
        <w:tc>
          <w:tcPr>
            <w:tcW w:w="8786"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color w:val="00B0F0"/>
              </w:rPr>
            </w:pPr>
            <w:r>
              <w:rPr>
                <w:color w:val="00B0F0"/>
              </w:rPr>
              <w:t>适用：本方法适用于辅助生产内部相互提供产品和劳务不多、不进行费用的交互</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pPr>
            <w:r>
              <w:rPr>
                <w:color w:val="00B0F0"/>
              </w:rPr>
              <w:t>分</w:t>
            </w:r>
            <w:r>
              <w:rPr>
                <w:color w:val="00B0F0"/>
                <w:spacing w:val="-1"/>
              </w:rPr>
              <w:t>配、对辅助生产成本和企业产品成本影响不大的情况</w:t>
            </w:r>
          </w:p>
        </w:tc>
      </w:tr>
    </w:tbl>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2"/>
        </w:rPr>
      </w:pP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2"/>
        </w:rPr>
        <w:t>18.辅助生产费用的归集与分配</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color w:val="000000" w:themeColor="text1"/>
          <w:spacing w:val="-8"/>
          <w14:textFill>
            <w14:solidFill>
              <w14:schemeClr w14:val="tx1"/>
            </w14:solidFill>
          </w14:textFill>
        </w:rPr>
      </w:pPr>
      <w:r>
        <w:rPr>
          <w:color w:val="000000" w:themeColor="text1"/>
          <w:spacing w:val="-8"/>
          <w14:textFill>
            <w14:solidFill>
              <w14:schemeClr w14:val="tx1"/>
            </w14:solidFill>
          </w14:textFill>
        </w:rPr>
        <w:t>（1）</w:t>
      </w:r>
      <w:r>
        <w:rPr>
          <w:color w:val="FF0000"/>
          <w:spacing w:val="-8"/>
        </w:rPr>
        <w:t>直接分配法</w:t>
      </w:r>
      <w:r>
        <w:rPr>
          <w:color w:val="000000" w:themeColor="text1"/>
          <w:spacing w:val="-8"/>
          <w14:textFill>
            <w14:solidFill>
              <w14:schemeClr w14:val="tx1"/>
            </w14:solidFill>
          </w14:textFill>
        </w:rPr>
        <w:t>（</w:t>
      </w:r>
      <w:r>
        <w:rPr>
          <w:color w:val="00B050"/>
          <w:spacing w:val="-8"/>
        </w:rPr>
        <w:t>不对内分配，只对外分配</w:t>
      </w:r>
      <w:r>
        <w:rPr>
          <w:color w:val="000000" w:themeColor="text1"/>
          <w:spacing w:val="-8"/>
          <w14:textFill>
            <w14:solidFill>
              <w14:schemeClr w14:val="tx1"/>
            </w14:solidFill>
          </w14:textFill>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color w:val="000000" w:themeColor="text1"/>
          <w:spacing w:val="-8"/>
          <w14:textFill>
            <w14:solidFill>
              <w14:schemeClr w14:val="tx1"/>
            </w14:solidFill>
          </w14:textFill>
        </w:rPr>
        <w:t>（2）</w:t>
      </w:r>
      <w:r>
        <w:rPr>
          <w:color w:val="FF0000"/>
          <w:spacing w:val="-8"/>
        </w:rPr>
        <w:t>交互分配法</w:t>
      </w:r>
      <w:r>
        <w:rPr>
          <w:color w:val="00B050"/>
          <w:spacing w:val="-8"/>
        </w:rPr>
        <w:t>（先对内分配，再对外分配）</w:t>
      </w:r>
    </w:p>
    <w:tbl>
      <w:tblPr>
        <w:tblStyle w:val="6"/>
        <w:tblW w:w="9932" w:type="dxa"/>
        <w:tblInd w:w="4" w:type="dxa"/>
        <w:tblBorders>
          <w:top w:val="single" w:color="595959" w:sz="6" w:space="0"/>
          <w:left w:val="single" w:color="595959" w:sz="6" w:space="0"/>
          <w:bottom w:val="single" w:color="595959" w:sz="6" w:space="0"/>
          <w:right w:val="single" w:color="595959" w:sz="6" w:space="0"/>
          <w:insideH w:val="single" w:color="595959" w:sz="6" w:space="0"/>
          <w:insideV w:val="single" w:color="595959" w:sz="6" w:space="0"/>
        </w:tblBorders>
        <w:tblLayout w:type="fixed"/>
        <w:tblCellMar>
          <w:top w:w="0" w:type="dxa"/>
          <w:left w:w="0" w:type="dxa"/>
          <w:bottom w:w="0" w:type="dxa"/>
          <w:right w:w="0" w:type="dxa"/>
        </w:tblCellMar>
      </w:tblPr>
      <w:tblGrid>
        <w:gridCol w:w="1175"/>
        <w:gridCol w:w="8757"/>
      </w:tblGrid>
      <w:tr>
        <w:tblPrEx>
          <w:tblBorders>
            <w:top w:val="single" w:color="595959" w:sz="6" w:space="0"/>
            <w:left w:val="single" w:color="595959" w:sz="6" w:space="0"/>
            <w:bottom w:val="single" w:color="595959" w:sz="6" w:space="0"/>
            <w:right w:val="single" w:color="595959" w:sz="6" w:space="0"/>
            <w:insideH w:val="single" w:color="595959" w:sz="6" w:space="0"/>
            <w:insideV w:val="single" w:color="595959" w:sz="6" w:space="0"/>
          </w:tblBorders>
          <w:tblCellMar>
            <w:top w:w="0" w:type="dxa"/>
            <w:left w:w="0" w:type="dxa"/>
            <w:bottom w:w="0" w:type="dxa"/>
            <w:right w:w="0" w:type="dxa"/>
          </w:tblCellMar>
        </w:tblPrEx>
        <w:trPr>
          <w:trHeight w:val="670" w:hRule="atLeast"/>
        </w:trPr>
        <w:tc>
          <w:tcPr>
            <w:tcW w:w="1175" w:type="dxa"/>
            <w:vMerge w:val="restart"/>
            <w:tcBorders>
              <w:top w:val="single" w:color="000000" w:sz="2" w:space="0"/>
              <w:left w:val="single" w:color="000000" w:sz="2" w:space="0"/>
              <w:bottom w:val="nil"/>
              <w:right w:val="single" w:color="000000" w:sz="2" w:space="0"/>
            </w:tcBorders>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t>直接分配法</w:t>
            </w:r>
          </w:p>
        </w:tc>
        <w:tc>
          <w:tcPr>
            <w:tcW w:w="8757" w:type="dxa"/>
            <w:tcBorders>
              <w:left w:val="single" w:color="595959" w:sz="2" w:space="0"/>
            </w:tcBorders>
            <w:vAlign w:val="top"/>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spacing w:val="-1"/>
              </w:rPr>
              <w:t>特点</w:t>
            </w:r>
            <w:r>
              <w:rPr>
                <w:color w:val="00B0F0"/>
                <w:spacing w:val="-1"/>
              </w:rPr>
              <w:t>：两次分配完成</w:t>
            </w:r>
          </w:p>
        </w:tc>
      </w:tr>
      <w:tr>
        <w:tblPrEx>
          <w:tblBorders>
            <w:top w:val="single" w:color="595959" w:sz="6" w:space="0"/>
            <w:left w:val="single" w:color="595959" w:sz="6" w:space="0"/>
            <w:bottom w:val="single" w:color="595959" w:sz="6" w:space="0"/>
            <w:right w:val="single" w:color="595959" w:sz="6" w:space="0"/>
            <w:insideH w:val="single" w:color="595959" w:sz="6" w:space="0"/>
            <w:insideV w:val="single" w:color="595959" w:sz="6" w:space="0"/>
          </w:tblBorders>
          <w:tblCellMar>
            <w:top w:w="0" w:type="dxa"/>
            <w:left w:w="0" w:type="dxa"/>
            <w:bottom w:w="0" w:type="dxa"/>
            <w:right w:w="0" w:type="dxa"/>
          </w:tblCellMar>
        </w:tblPrEx>
        <w:trPr>
          <w:trHeight w:val="1877" w:hRule="atLeast"/>
        </w:trPr>
        <w:tc>
          <w:tcPr>
            <w:tcW w:w="1175" w:type="dxa"/>
            <w:vMerge w:val="continue"/>
            <w:tcBorders>
              <w:top w:val="nil"/>
              <w:left w:val="single" w:color="000000" w:sz="2" w:space="0"/>
              <w:bottom w:val="nil"/>
              <w:right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ascii="Arial"/>
                <w:sz w:val="21"/>
              </w:rPr>
            </w:pPr>
          </w:p>
        </w:tc>
        <w:tc>
          <w:tcPr>
            <w:tcW w:w="8757" w:type="dxa"/>
            <w:tcBorders>
              <w:left w:val="single" w:color="595959" w:sz="2" w:space="0"/>
            </w:tcBorders>
            <w:vAlign w:val="top"/>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t>①对内交互分配率＝辅助生产费用总额/辅助生产提</w:t>
            </w:r>
            <w:r>
              <w:rPr>
                <w:spacing w:val="-1"/>
              </w:rPr>
              <w:t>供的总产品或劳务量</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spacing w:val="4"/>
                <w:position w:val="15"/>
              </w:rPr>
              <w:t>②对外分配率＝（交互分配前的成本费用＋交互分配转入的成本费用－交互分配转出的费用）/对辅助以外的其他部门提供的产品或劳务总量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0" w:hRule="atLeast"/>
        </w:trPr>
        <w:tc>
          <w:tcPr>
            <w:tcW w:w="1175" w:type="dxa"/>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ascii="Arial"/>
                <w:sz w:val="21"/>
              </w:rPr>
            </w:pPr>
          </w:p>
        </w:tc>
        <w:tc>
          <w:tcPr>
            <w:tcW w:w="8757" w:type="dxa"/>
            <w:tcBorders>
              <w:top w:val="single" w:color="595959" w:sz="6" w:space="0"/>
              <w:left w:val="single" w:color="595959" w:sz="2" w:space="0"/>
              <w:bottom w:val="single" w:color="595959" w:sz="6" w:space="0"/>
              <w:right w:val="single" w:color="595959" w:sz="6" w:space="0"/>
            </w:tcBorders>
            <w:vAlign w:val="top"/>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00B050"/>
                <w:spacing w:val="-1"/>
              </w:rPr>
              <w:t>优点：提高了分配的正确性</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color w:val="00B050"/>
                <w:spacing w:val="-1"/>
              </w:rPr>
              <w:t>缺点：增加了分配的工作量</w:t>
            </w:r>
          </w:p>
        </w:tc>
      </w:tr>
    </w:tbl>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000000" w:themeColor="text1"/>
          <w:spacing w:val="-3"/>
          <w14:textFill>
            <w14:solidFill>
              <w14:schemeClr w14:val="tx1"/>
            </w14:solidFill>
          </w14:textFill>
        </w:rPr>
        <w:t>（3）</w:t>
      </w:r>
      <w:r>
        <w:rPr>
          <w:spacing w:val="-3"/>
        </w:rPr>
        <w:t>计划分配法</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1"/>
        </w:rPr>
        <w:t>辅助生产车间实际发生的费用与按计划单位成本分配转出的费用之间的差额采用简化计算方法全部计入</w:t>
      </w:r>
      <w:r>
        <w:rPr>
          <w:color w:val="00B050"/>
          <w:spacing w:val="-1"/>
        </w:rPr>
        <w:t>管理费用</w:t>
      </w:r>
      <w:r>
        <w:rPr>
          <w:color w:val="auto"/>
          <w:spacing w:val="-1"/>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spacing w:val="-2"/>
        </w:rPr>
        <w:t>19.废品损失和停工损失</w:t>
      </w:r>
    </w:p>
    <w:tbl>
      <w:tblPr>
        <w:tblStyle w:val="6"/>
        <w:tblW w:w="99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4"/>
        <w:gridCol w:w="5532"/>
        <w:gridCol w:w="327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1134" w:type="dxa"/>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p>
        </w:tc>
        <w:tc>
          <w:tcPr>
            <w:tcW w:w="553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rPr>
                <w:spacing w:val="-6"/>
              </w:rPr>
              <w:t>内容</w:t>
            </w:r>
          </w:p>
        </w:tc>
        <w:tc>
          <w:tcPr>
            <w:tcW w:w="32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rPr>
                <w:spacing w:val="-1"/>
              </w:rPr>
              <w:t>提醒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2" w:hRule="atLeast"/>
        </w:trPr>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rPr>
                <w:spacing w:val="-1"/>
              </w:rPr>
              <w:t>计算</w:t>
            </w:r>
          </w:p>
        </w:tc>
        <w:tc>
          <w:tcPr>
            <w:tcW w:w="553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ascii="Arial"/>
                <w:sz w:val="21"/>
              </w:rPr>
            </w:pPr>
            <w:r>
              <w:rPr>
                <w:color w:val="FF0000"/>
                <w:spacing w:val="-2"/>
              </w:rPr>
              <w:t>不可修复：废品损失=不可修成本-残值-赔款</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pPr>
            <w:r>
              <w:rPr>
                <w:color w:val="FF0000"/>
                <w:spacing w:val="-2"/>
              </w:rPr>
              <w:t>可修复：废品损失=修复费用-残值-赔款</w:t>
            </w:r>
          </w:p>
        </w:tc>
        <w:tc>
          <w:tcPr>
            <w:tcW w:w="32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pPr>
            <w:r>
              <w:rPr>
                <w:color w:val="00B050"/>
                <w:spacing w:val="-1"/>
              </w:rPr>
              <w:t>注意计算起点不一样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2" w:hRule="atLeast"/>
        </w:trPr>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rPr>
                <w:spacing w:val="-1"/>
              </w:rPr>
              <w:t>注意</w:t>
            </w:r>
          </w:p>
        </w:tc>
        <w:tc>
          <w:tcPr>
            <w:tcW w:w="553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ascii="Arial"/>
                <w:sz w:val="21"/>
              </w:rPr>
            </w:pPr>
            <w:r>
              <w:rPr>
                <w:color w:val="00B050"/>
                <w:spacing w:val="-1"/>
              </w:rPr>
              <w:t>废品损失</w:t>
            </w:r>
            <w:r>
              <w:rPr>
                <w:spacing w:val="-1"/>
              </w:rPr>
              <w:t>也可不单独核算，相应费用等体现在</w:t>
            </w:r>
            <w:r>
              <w:rPr>
                <w:color w:val="00B050"/>
                <w:spacing w:val="-1"/>
              </w:rPr>
              <w:t>“生</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pPr>
            <w:r>
              <w:rPr>
                <w:color w:val="00B050"/>
                <w:spacing w:val="-1"/>
              </w:rPr>
              <w:t>产成本——基本生产成本”、“原材料”</w:t>
            </w:r>
            <w:r>
              <w:rPr>
                <w:spacing w:val="-1"/>
              </w:rPr>
              <w:t>等科目</w:t>
            </w:r>
            <w:r>
              <w:t>中</w:t>
            </w:r>
          </w:p>
        </w:tc>
        <w:tc>
          <w:tcPr>
            <w:tcW w:w="32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pPr>
            <w:r>
              <w:rPr>
                <w:spacing w:val="-2"/>
              </w:rPr>
              <w:t>判断题考点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4" w:hRule="atLeast"/>
        </w:trPr>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hanging="2"/>
              <w:jc w:val="center"/>
              <w:textAlignment w:val="baseline"/>
            </w:pPr>
            <w:r>
              <w:rPr>
                <w:spacing w:val="-2"/>
              </w:rPr>
              <w:t>不属于</w:t>
            </w:r>
            <w:r>
              <w:rPr>
                <w:spacing w:val="46"/>
              </w:rPr>
              <w:t>费用损</w:t>
            </w:r>
            <w:r>
              <w:t>失</w:t>
            </w:r>
          </w:p>
        </w:tc>
        <w:tc>
          <w:tcPr>
            <w:tcW w:w="553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color w:val="FF0000"/>
                <w:spacing w:val="-4"/>
              </w:rPr>
            </w:pPr>
            <w:r>
              <w:rPr>
                <w:color w:val="FF0000"/>
                <w:spacing w:val="-4"/>
              </w:rPr>
              <w:t>①经质量检验部门鉴定不需要返修；</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FF0000"/>
                <w:spacing w:val="-4"/>
              </w:rPr>
              <w:t>②可以降价出售的不合格品；</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FF0000"/>
                <w:spacing w:val="-16"/>
              </w:rPr>
              <w:t>③产品入库后由于保管不善等原因而损坏变质的产品；</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color w:val="FF0000"/>
                <w:spacing w:val="-1"/>
              </w:rPr>
              <w:t>④实行“三包”企业在产品出售后发现的废品</w:t>
            </w:r>
          </w:p>
        </w:tc>
        <w:tc>
          <w:tcPr>
            <w:tcW w:w="32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pPr>
            <w:r>
              <w:rPr>
                <w:spacing w:val="-2"/>
              </w:rPr>
              <w:t>多选题考点</w:t>
            </w:r>
          </w:p>
        </w:tc>
      </w:tr>
    </w:tbl>
    <w:p/>
    <w:tbl>
      <w:tblPr>
        <w:tblStyle w:val="6"/>
        <w:tblpPr w:leftFromText="180" w:rightFromText="180" w:vertAnchor="text" w:horzAnchor="page" w:tblpX="1117" w:tblpY="138"/>
        <w:tblOverlap w:val="never"/>
        <w:tblW w:w="99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3"/>
        <w:gridCol w:w="5519"/>
        <w:gridCol w:w="32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1133"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ascii="Arial"/>
                <w:sz w:val="21"/>
              </w:rPr>
            </w:pPr>
          </w:p>
        </w:tc>
        <w:tc>
          <w:tcPr>
            <w:tcW w:w="551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rPr>
                <w:spacing w:val="-6"/>
              </w:rPr>
              <w:t>内容</w:t>
            </w:r>
          </w:p>
        </w:tc>
        <w:tc>
          <w:tcPr>
            <w:tcW w:w="326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rPr>
                <w:spacing w:val="-1"/>
              </w:rPr>
              <w:t>提醒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113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rPr>
                <w:spacing w:val="-1"/>
              </w:rPr>
              <w:t>停工</w:t>
            </w:r>
          </w:p>
        </w:tc>
        <w:tc>
          <w:tcPr>
            <w:tcW w:w="551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color w:val="00B0F0"/>
                <w:spacing w:val="-2"/>
              </w:rPr>
              <w:t>断停工、自然灾害停工</w:t>
            </w:r>
            <w:r>
              <w:rPr>
                <w:spacing w:val="-2"/>
              </w:rPr>
              <w:t>等</w:t>
            </w:r>
          </w:p>
        </w:tc>
        <w:tc>
          <w:tcPr>
            <w:tcW w:w="326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color w:val="00B050"/>
                <w:spacing w:val="-1"/>
              </w:rPr>
              <w:t>期损益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113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rPr>
                <w:spacing w:val="-1"/>
              </w:rPr>
              <w:t>计算</w:t>
            </w:r>
          </w:p>
        </w:tc>
        <w:tc>
          <w:tcPr>
            <w:tcW w:w="551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both"/>
              <w:textAlignment w:val="baseline"/>
            </w:pPr>
            <w:r>
              <w:rPr>
                <w:spacing w:val="-1"/>
              </w:rPr>
              <w:t>停工期间料工费-残值-赔偿</w:t>
            </w:r>
          </w:p>
        </w:tc>
        <w:tc>
          <w:tcPr>
            <w:tcW w:w="3267"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113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rPr>
                <w:spacing w:val="-1"/>
              </w:rPr>
              <w:t>注意</w:t>
            </w:r>
          </w:p>
        </w:tc>
        <w:tc>
          <w:tcPr>
            <w:tcW w:w="551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spacing w:val="14"/>
                <w:position w:val="14"/>
              </w:rPr>
              <w:t>不设立</w:t>
            </w:r>
            <w:r>
              <w:rPr>
                <w:color w:val="00B050"/>
                <w:spacing w:val="14"/>
                <w:position w:val="14"/>
              </w:rPr>
              <w:t>“停工损失”</w:t>
            </w:r>
            <w:r>
              <w:rPr>
                <w:spacing w:val="14"/>
                <w:position w:val="14"/>
              </w:rPr>
              <w:t>科目，直接反映在</w:t>
            </w:r>
            <w:r>
              <w:rPr>
                <w:color w:val="00B050"/>
                <w:spacing w:val="14"/>
                <w:position w:val="14"/>
              </w:rPr>
              <w:t>“制造费</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color w:val="00B050"/>
                <w:spacing w:val="56"/>
              </w:rPr>
              <w:t>用”</w:t>
            </w:r>
            <w:r>
              <w:rPr>
                <w:color w:val="00B050"/>
                <w:spacing w:val="-1"/>
              </w:rPr>
              <w:t>和“营业外支出”</w:t>
            </w:r>
            <w:r>
              <w:rPr>
                <w:spacing w:val="-1"/>
              </w:rPr>
              <w:t>等科目中</w:t>
            </w:r>
          </w:p>
        </w:tc>
        <w:tc>
          <w:tcPr>
            <w:tcW w:w="326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spacing w:val="-2"/>
              </w:rPr>
              <w:t>判断题考点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113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rPr>
                <w:spacing w:val="-4"/>
              </w:rPr>
              <w:t>正常停</w:t>
            </w:r>
            <w:r>
              <w:t>工</w:t>
            </w:r>
          </w:p>
        </w:tc>
        <w:tc>
          <w:tcPr>
            <w:tcW w:w="551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color w:val="00B0F0"/>
                <w:spacing w:val="-1"/>
              </w:rPr>
            </w:pPr>
            <w:r>
              <w:rPr>
                <w:color w:val="00B0F0"/>
                <w:spacing w:val="-1"/>
              </w:rPr>
              <w:t>包括季节性停工、正常生产周期内的修理期间的停</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color w:val="00B0F0"/>
                <w:spacing w:val="-1"/>
              </w:rPr>
              <w:t>工、计划内减产停工</w:t>
            </w:r>
            <w:r>
              <w:rPr>
                <w:spacing w:val="-1"/>
              </w:rPr>
              <w:t>等</w:t>
            </w:r>
          </w:p>
        </w:tc>
        <w:tc>
          <w:tcPr>
            <w:tcW w:w="326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color w:val="00B050"/>
              </w:rPr>
              <w:t>计入产品成本</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13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pPr>
            <w:r>
              <w:rPr>
                <w:spacing w:val="-2"/>
              </w:rPr>
              <w:t>非正常</w:t>
            </w:r>
          </w:p>
        </w:tc>
        <w:tc>
          <w:tcPr>
            <w:tcW w:w="551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hint="eastAsia" w:eastAsia="微软雅黑"/>
                <w:lang w:eastAsia="zh-CN"/>
              </w:rPr>
            </w:pPr>
            <w:r>
              <w:rPr>
                <w:color w:val="00B0F0"/>
              </w:rPr>
              <w:t>原材料或工具等短缺停工、设备故障停工、</w:t>
            </w:r>
            <w:r>
              <w:rPr>
                <w:color w:val="00B0F0"/>
                <w:spacing w:val="-1"/>
              </w:rPr>
              <w:t>电力</w:t>
            </w:r>
            <w:r>
              <w:rPr>
                <w:rFonts w:hint="eastAsia"/>
                <w:color w:val="auto"/>
                <w:spacing w:val="-1"/>
                <w:lang w:val="en-US" w:eastAsia="zh-CN"/>
              </w:rPr>
              <w:t>等</w:t>
            </w:r>
          </w:p>
        </w:tc>
        <w:tc>
          <w:tcPr>
            <w:tcW w:w="326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r>
              <w:rPr>
                <w:color w:val="00B050"/>
                <w:spacing w:val="-1"/>
              </w:rPr>
              <w:t>计入企业当</w:t>
            </w:r>
          </w:p>
        </w:tc>
      </w:tr>
    </w:tbl>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3"/>
        </w:rPr>
      </w:pPr>
      <w:r>
        <w:rPr>
          <w:spacing w:val="-3"/>
        </w:rPr>
        <w:t>20.生产成本在完工产品和在产品之间进行分配</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3"/>
        </w:rPr>
        <w:t>（1）约当产量比例法</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FF0000"/>
          <w:spacing w:val="-10"/>
        </w:rPr>
        <w:t>涉及多道工序：每道工序完工进度=（前面各道工序工时定额之和+本道工序工时定额×本道工序完工程度）/产品工时定额</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2"/>
        </w:rPr>
        <w:t>（2）在产品按定额成本计价法</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color w:val="00B050"/>
          <w:spacing w:val="-3"/>
        </w:rPr>
        <w:t>月末在产品成本=月末在产品数量×在产品单位定额成本</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8"/>
        </w:rPr>
      </w:pPr>
      <w:r>
        <w:rPr>
          <w:spacing w:val="-8"/>
        </w:rPr>
        <w:t>完工产品成本=（月初在产品成本+本月发生生产成本）-月末在产品成本</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8"/>
        </w:rPr>
        <w:t>21、产品成本计算方法：</w:t>
      </w:r>
      <w:r>
        <w:rPr>
          <w:color w:val="00B0F0"/>
          <w:spacing w:val="-8"/>
        </w:rPr>
        <w:t>品种法、分批法、分步法。</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6"/>
        </w:rPr>
      </w:pPr>
      <w:r>
        <w:rPr>
          <w:spacing w:val="-6"/>
        </w:rPr>
        <w:t>22、政府预算会计要素：预算收入、预算支出、预算结余</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6"/>
        </w:rPr>
        <w:t>政府财务会计要素：</w:t>
      </w:r>
      <w:r>
        <w:rPr>
          <w:color w:val="00B0F0"/>
          <w:spacing w:val="-6"/>
        </w:rPr>
        <w:t>资产、负债、净资产、收入、费用</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6"/>
        </w:rPr>
        <w:t>23、政府会计的特点：</w:t>
      </w:r>
      <w:r>
        <w:rPr>
          <w:color w:val="FF0000"/>
          <w:spacing w:val="-6"/>
        </w:rPr>
        <w:t>双功能、双基础、双要素</w:t>
      </w:r>
      <w:r>
        <w:rPr>
          <w:color w:val="FF0000"/>
          <w:spacing w:val="-7"/>
        </w:rPr>
        <w:t>、双报告。</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3"/>
        </w:rPr>
      </w:pPr>
      <w:r>
        <w:rPr>
          <w:spacing w:val="-3"/>
        </w:rPr>
        <w:t>24.国库集中支付业务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3"/>
        </w:rPr>
        <w:t>（1）财政直接支付</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3"/>
        </w:rPr>
        <w:t>（2）财政授权支付</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pP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ascii="Arial"/>
          <w:sz w:val="24"/>
          <w:szCs w:val="32"/>
        </w:rPr>
      </w:pPr>
      <w:r>
        <w:rPr>
          <w:sz w:val="32"/>
          <w:szCs w:val="32"/>
        </w:rPr>
        <w:t>第三章流动资产</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ascii="Arial"/>
          <w:sz w:val="21"/>
        </w:rPr>
      </w:pPr>
      <w:r>
        <w:rPr>
          <w:spacing w:val="-6"/>
        </w:rPr>
        <w:t>1、现金清查的重要结论：</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position w:val="15"/>
        </w:rPr>
      </w:pPr>
      <w:r>
        <w:rPr>
          <w:position w:val="15"/>
        </w:rPr>
        <w:t>属于</w:t>
      </w:r>
      <w:r>
        <w:rPr>
          <w:color w:val="FF0000"/>
          <w:position w:val="15"/>
        </w:rPr>
        <w:t>无法查明原因</w:t>
      </w:r>
      <w:r>
        <w:rPr>
          <w:position w:val="15"/>
        </w:rPr>
        <w:t>的</w:t>
      </w:r>
      <w:r>
        <w:rPr>
          <w:color w:val="FF0000"/>
          <w:position w:val="15"/>
        </w:rPr>
        <w:t>现金短缺</w:t>
      </w:r>
      <w:r>
        <w:rPr>
          <w:position w:val="15"/>
        </w:rPr>
        <w:t>，计入</w:t>
      </w:r>
      <w:r>
        <w:rPr>
          <w:color w:val="FF0000"/>
          <w:position w:val="15"/>
        </w:rPr>
        <w:t>管理费用</w:t>
      </w:r>
      <w:r>
        <w:rPr>
          <w:position w:val="15"/>
        </w:rPr>
        <w:t>。属于</w:t>
      </w:r>
      <w:r>
        <w:rPr>
          <w:color w:val="FF0000"/>
          <w:position w:val="15"/>
        </w:rPr>
        <w:t>无法查明原因</w:t>
      </w:r>
      <w:r>
        <w:rPr>
          <w:position w:val="15"/>
        </w:rPr>
        <w:t>的</w:t>
      </w:r>
      <w:r>
        <w:rPr>
          <w:color w:val="FF0000"/>
          <w:position w:val="15"/>
        </w:rPr>
        <w:t>现金溢余</w:t>
      </w:r>
      <w:r>
        <w:rPr>
          <w:position w:val="15"/>
        </w:rPr>
        <w:t>，计入</w:t>
      </w:r>
      <w:r>
        <w:rPr>
          <w:color w:val="FF0000"/>
          <w:position w:val="15"/>
        </w:rPr>
        <w:t>营业外收入</w:t>
      </w:r>
      <w:r>
        <w:rPr>
          <w:position w:val="15"/>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position w:val="15"/>
        </w:rPr>
      </w:pPr>
      <w:r>
        <w:rPr>
          <w:position w:val="15"/>
        </w:rPr>
        <w:t>2、银行存款的管理：银行存款是企业存放在银行或其他金融机构的货币资金。银行存款是企</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spacing w:val="-8"/>
        </w:rPr>
      </w:pPr>
      <w:r>
        <w:rPr>
          <w:spacing w:val="-8"/>
        </w:rPr>
        <w:t>业除现金之外流动性最强的资产，企业应当根据日常经营业务和管理活动的需要合理确定银行存款规模。</w:t>
      </w:r>
    </w:p>
    <w:p>
      <w:pPr>
        <w:rPr>
          <w:rFonts w:ascii="Arial"/>
          <w:sz w:val="21"/>
        </w:rPr>
      </w:pPr>
      <w:r>
        <w:rPr>
          <w:spacing w:val="-5"/>
        </w:rPr>
        <w:t>3、其他货币资金的内容：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color w:val="00B0F0"/>
          <w:spacing w:val="-1"/>
          <w:position w:val="14"/>
        </w:rPr>
      </w:pPr>
      <w:r>
        <w:rPr>
          <w:color w:val="00B0F0"/>
          <w:position w:val="14"/>
        </w:rPr>
        <w:t>银行汇票存款、银行本票存款、信用卡存款、信用证保证金存款、存出投资</w:t>
      </w:r>
      <w:r>
        <w:rPr>
          <w:color w:val="00B0F0"/>
          <w:spacing w:val="-1"/>
          <w:position w:val="14"/>
        </w:rPr>
        <w:t>款、外埠</w:t>
      </w:r>
      <w:r>
        <w:rPr>
          <w:rFonts w:hint="eastAsia"/>
          <w:color w:val="00B0F0"/>
          <w:spacing w:val="-1"/>
          <w:position w:val="14"/>
        </w:rPr>
        <w:t>存款等</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r>
        <w:rPr>
          <w:spacing w:val="-11"/>
        </w:rPr>
        <w:t>注意：</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9"/>
        <w:jc w:val="left"/>
        <w:textAlignment w:val="baseline"/>
        <w:rPr>
          <w:rFonts w:ascii="Arial"/>
          <w:sz w:val="21"/>
        </w:rPr>
      </w:pPr>
      <w:r>
        <w:rPr>
          <w:color w:val="00B050"/>
          <w:spacing w:val="-7"/>
        </w:rPr>
        <w:t>（1）商业汇票</w:t>
      </w:r>
      <w:r>
        <w:rPr>
          <w:spacing w:val="-7"/>
        </w:rPr>
        <w:t>（包括银行承兑汇票和商业承兑汇票</w:t>
      </w:r>
      <w:r>
        <w:rPr>
          <w:spacing w:val="-4"/>
        </w:rPr>
        <w:t>），</w:t>
      </w:r>
      <w:r>
        <w:rPr>
          <w:spacing w:val="-7"/>
        </w:rPr>
        <w:t>通过</w:t>
      </w:r>
      <w:r>
        <w:rPr>
          <w:color w:val="00B050"/>
          <w:spacing w:val="-7"/>
        </w:rPr>
        <w:t>“应收票据</w:t>
      </w:r>
      <w:r>
        <w:rPr>
          <w:rFonts w:hint="eastAsia"/>
          <w:color w:val="00B050"/>
          <w:spacing w:val="-7"/>
          <w:lang w:eastAsia="zh-CN"/>
        </w:rPr>
        <w:t>”“</w:t>
      </w:r>
      <w:r>
        <w:rPr>
          <w:color w:val="00B050"/>
          <w:spacing w:val="-8"/>
        </w:rPr>
        <w:t>应付</w:t>
      </w:r>
      <w:r>
        <w:rPr>
          <w:color w:val="00B050"/>
          <w:spacing w:val="-6"/>
        </w:rPr>
        <w:t>票据”</w:t>
      </w:r>
      <w:r>
        <w:rPr>
          <w:spacing w:val="-6"/>
        </w:rPr>
        <w:t>核算。</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9"/>
        <w:jc w:val="left"/>
        <w:textAlignment w:val="baseline"/>
        <w:rPr>
          <w:rFonts w:ascii="Arial"/>
          <w:sz w:val="21"/>
        </w:rPr>
      </w:pPr>
      <w:r>
        <w:rPr>
          <w:color w:val="00B050"/>
          <w:spacing w:val="-4"/>
        </w:rPr>
        <w:t>（2）支票通过“银行存款”核算。</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9"/>
        <w:jc w:val="left"/>
        <w:textAlignment w:val="baseline"/>
        <w:rPr>
          <w:rFonts w:ascii="Arial"/>
          <w:sz w:val="21"/>
        </w:rPr>
      </w:pPr>
      <w:r>
        <w:rPr>
          <w:color w:val="000000" w:themeColor="text1"/>
          <w:spacing w:val="-3"/>
          <w14:textFill>
            <w14:solidFill>
              <w14:schemeClr w14:val="tx1"/>
            </w14:solidFill>
          </w14:textFill>
        </w:rPr>
        <w:t>（3）存</w:t>
      </w:r>
      <w:r>
        <w:rPr>
          <w:spacing w:val="-3"/>
        </w:rPr>
        <w:t>出保证金通过“其他应收款”核算。</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5"/>
        <w:jc w:val="left"/>
        <w:textAlignment w:val="baseline"/>
      </w:pPr>
      <w:r>
        <w:rPr>
          <w:spacing w:val="-8"/>
        </w:rPr>
        <w:t>4、交易性金融资产取得成本的计算（入账价值</w:t>
      </w:r>
      <w:r>
        <w:rPr>
          <w:spacing w:val="2"/>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pPr>
      <w:r>
        <w:rPr>
          <w:spacing w:val="-3"/>
          <w:position w:val="14"/>
        </w:rPr>
        <w:t>购买价款，不是面值，</w:t>
      </w:r>
      <w:r>
        <w:rPr>
          <w:color w:val="FF0000"/>
          <w:spacing w:val="-3"/>
          <w:position w:val="14"/>
        </w:rPr>
        <w:t>不含已宣告但尚未发放</w:t>
      </w:r>
      <w:r>
        <w:rPr>
          <w:color w:val="FF0000"/>
          <w:spacing w:val="-4"/>
          <w:position w:val="14"/>
        </w:rPr>
        <w:t>的现金股利、已到付息期但尚未领取的债券利</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0"/>
        <w:jc w:val="left"/>
        <w:textAlignment w:val="baseline"/>
        <w:rPr>
          <w:rFonts w:ascii="Arial"/>
          <w:sz w:val="21"/>
        </w:rPr>
      </w:pPr>
      <w:r>
        <w:rPr>
          <w:color w:val="FF0000"/>
          <w:spacing w:val="-2"/>
        </w:rPr>
        <w:t>息</w:t>
      </w:r>
      <w:r>
        <w:rPr>
          <w:spacing w:val="-2"/>
        </w:rPr>
        <w:t>，</w:t>
      </w:r>
      <w:r>
        <w:rPr>
          <w:spacing w:val="-1"/>
        </w:rPr>
        <w:t>也</w:t>
      </w:r>
      <w:r>
        <w:rPr>
          <w:color w:val="FF0000"/>
          <w:spacing w:val="-1"/>
        </w:rPr>
        <w:t>不包括交易费用</w:t>
      </w:r>
      <w:r>
        <w:rPr>
          <w:spacing w:val="-1"/>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3"/>
        <w:jc w:val="left"/>
        <w:textAlignment w:val="baseline"/>
        <w:rPr>
          <w:rFonts w:ascii="Arial"/>
          <w:sz w:val="21"/>
        </w:rPr>
      </w:pPr>
      <w:r>
        <w:rPr>
          <w:spacing w:val="-3"/>
        </w:rPr>
        <w:t>5、</w:t>
      </w:r>
      <w:r>
        <w:rPr>
          <w:color w:val="00B050"/>
          <w:spacing w:val="-3"/>
        </w:rPr>
        <w:t>交易性金融资产出售时应确认的投资收益=出售时的公允价值-账面余额。</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7"/>
        <w:jc w:val="left"/>
        <w:textAlignment w:val="baseline"/>
        <w:rPr>
          <w:rFonts w:ascii="Arial"/>
          <w:sz w:val="21"/>
        </w:rPr>
      </w:pPr>
      <w:r>
        <w:rPr>
          <w:spacing w:val="-5"/>
        </w:rPr>
        <w:t>6、短期投资的科目设置：</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0"/>
        <w:jc w:val="left"/>
        <w:textAlignment w:val="baseline"/>
        <w:rPr>
          <w:rFonts w:ascii="Arial"/>
          <w:sz w:val="21"/>
        </w:rPr>
      </w:pPr>
      <w:r>
        <w:rPr>
          <w:spacing w:val="-3"/>
        </w:rPr>
        <w:t>“短期投资”科目为流动资产类科目，借增贷减，余额在借方。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spacing w:val="-2"/>
        </w:rPr>
      </w:pPr>
      <w:r>
        <w:rPr>
          <w:spacing w:val="-2"/>
        </w:rPr>
        <w:t>小企业购入的能随时变现并且持有时间</w:t>
      </w:r>
      <w:r>
        <w:rPr>
          <w:color w:val="00B0F0"/>
          <w:spacing w:val="-2"/>
        </w:rPr>
        <w:t>不准备超过1年（含1年）</w:t>
      </w:r>
      <w:r>
        <w:rPr>
          <w:spacing w:val="-2"/>
        </w:rPr>
        <w:t>的投资应设置“短期投资”</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rFonts w:ascii="Arial"/>
          <w:sz w:val="21"/>
        </w:rPr>
      </w:pPr>
      <w:r>
        <w:rPr>
          <w:spacing w:val="-2"/>
        </w:rPr>
        <w:t>科目核算。该科目应按照股票、债券、基金等短期投资种类进行明细核算。</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6"/>
        <w:jc w:val="left"/>
        <w:textAlignment w:val="baseline"/>
        <w:rPr>
          <w:rFonts w:ascii="Arial"/>
          <w:sz w:val="21"/>
        </w:rPr>
      </w:pPr>
      <w:r>
        <w:rPr>
          <w:spacing w:val="-4"/>
        </w:rPr>
        <w:t>7、应收账款入账价值的内容：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color w:val="FF0000"/>
          <w:spacing w:val="-1"/>
        </w:rPr>
      </w:pPr>
      <w:r>
        <w:t>应收账款是指企业因销售商品、提供服务等经营活动，应向购货单位或接受服务单位收取</w:t>
      </w:r>
      <w:r>
        <w:rPr>
          <w:spacing w:val="-1"/>
        </w:rPr>
        <w:t>的款</w:t>
      </w:r>
      <w:r>
        <w:rPr>
          <w:rFonts w:hint="eastAsia"/>
          <w:spacing w:val="-1"/>
        </w:rPr>
        <w:t>项，主要包括企业销售商品或提供服务等应向有关债务人收取的</w:t>
      </w:r>
      <w:r>
        <w:rPr>
          <w:rFonts w:hint="eastAsia"/>
          <w:color w:val="FF0000"/>
          <w:spacing w:val="-1"/>
        </w:rPr>
        <w:t>价款、增值税及代购货单位垫</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spacing w:val="-1"/>
        </w:rPr>
      </w:pPr>
      <w:r>
        <w:rPr>
          <w:rFonts w:hint="eastAsia"/>
          <w:color w:val="FF0000"/>
          <w:spacing w:val="-1"/>
        </w:rPr>
        <w:t>付的包装费、运杂费</w:t>
      </w:r>
      <w:r>
        <w:rPr>
          <w:rFonts w:hint="eastAsia"/>
          <w:spacing w:val="-1"/>
        </w:rPr>
        <w:t>等。</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spacing w:val="-1"/>
        </w:rPr>
      </w:pPr>
      <w:r>
        <w:rPr>
          <w:rFonts w:hint="eastAsia"/>
          <w:spacing w:val="-1"/>
        </w:rPr>
        <w:t>8、应收账款账面价值的计算公式：</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spacing w:val="-1"/>
        </w:rPr>
      </w:pPr>
      <w:r>
        <w:rPr>
          <w:rFonts w:hint="eastAsia"/>
          <w:spacing w:val="-1"/>
        </w:rPr>
        <w:t>应收账款的账面价值=“应收账款”的借方余额+“预收账款”借方余额-“坏账准备”的贷方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r>
        <w:rPr>
          <w:rFonts w:hint="eastAsia"/>
          <w:spacing w:val="-1"/>
        </w:rPr>
        <w:t>余额其中：“坏账准备”科目是“应收账款”科目的备抵科目。</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5"/>
        <w:jc w:val="left"/>
        <w:textAlignment w:val="baseline"/>
        <w:rPr>
          <w:rFonts w:ascii="Arial"/>
          <w:sz w:val="21"/>
        </w:rPr>
      </w:pPr>
      <w:r>
        <w:rPr>
          <w:spacing w:val="-4"/>
        </w:rPr>
        <w:t>9、当期计提坏账准备的计算公式：</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pPr>
      <w:r>
        <w:rPr>
          <w:color w:val="FF0000"/>
          <w:spacing w:val="-1"/>
          <w:position w:val="14"/>
        </w:rPr>
        <w:t>计算当期期末应计提的坏账准备=坏账准备科目应有的贷方余额-计提前坏账准备的贷</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0"/>
        <w:jc w:val="left"/>
        <w:textAlignment w:val="baseline"/>
        <w:rPr>
          <w:rFonts w:hint="eastAsia"/>
          <w:color w:val="000000" w:themeColor="text1"/>
          <w:spacing w:val="-1"/>
          <w14:textFill>
            <w14:solidFill>
              <w14:schemeClr w14:val="tx1"/>
            </w14:solidFill>
          </w14:textFill>
        </w:rPr>
      </w:pPr>
      <w:r>
        <w:rPr>
          <w:color w:val="FF0000"/>
          <w:spacing w:val="-1"/>
        </w:rPr>
        <w:t>方余额</w:t>
      </w:r>
      <w:r>
        <w:rPr>
          <w:rFonts w:hint="eastAsia"/>
          <w:color w:val="000000" w:themeColor="text1"/>
          <w:spacing w:val="-1"/>
          <w14:textFill>
            <w14:solidFill>
              <w14:schemeClr w14:val="tx1"/>
            </w14:solidFill>
          </w14:textFill>
        </w:rPr>
        <w:t>（或+计提前坏账准备的借方余额）如果结果为正数，就是本期期末应计提的坏账准</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0"/>
        <w:jc w:val="left"/>
        <w:textAlignment w:val="baseline"/>
        <w:rPr>
          <w:spacing w:val="-8"/>
        </w:rPr>
      </w:pPr>
      <w:r>
        <w:rPr>
          <w:rFonts w:hint="eastAsia"/>
          <w:color w:val="000000" w:themeColor="text1"/>
          <w:spacing w:val="-1"/>
          <w14:textFill>
            <w14:solidFill>
              <w14:schemeClr w14:val="tx1"/>
            </w14:solidFill>
          </w14:textFill>
        </w:rPr>
        <w:t>备的金额；</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spacing w:val="-5"/>
        </w:rPr>
      </w:pPr>
      <w:r>
        <w:rPr>
          <w:spacing w:val="-5"/>
        </w:rPr>
        <w:t>如果结果为负数，就是本期期末应转回的坏账准备的金额。</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rFonts w:ascii="Arial"/>
          <w:sz w:val="21"/>
        </w:rPr>
      </w:pPr>
      <w:r>
        <w:rPr>
          <w:spacing w:val="-5"/>
        </w:rPr>
        <w:t>10、其他应收款的主要核算内容：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rPr>
          <w:rFonts w:ascii="Arial"/>
          <w:sz w:val="21"/>
        </w:rPr>
      </w:pPr>
      <w:r>
        <w:rPr>
          <w:color w:val="00B050"/>
          <w:spacing w:val="-5"/>
        </w:rPr>
        <w:t>其他应收款的内容：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9"/>
        <w:jc w:val="left"/>
        <w:textAlignment w:val="baseline"/>
        <w:rPr>
          <w:rFonts w:hint="eastAsia"/>
          <w:color w:val="00B0F0"/>
          <w:spacing w:val="-4"/>
        </w:rPr>
      </w:pPr>
      <w:r>
        <w:rPr>
          <w:rFonts w:hint="eastAsia"/>
          <w:color w:val="00B0F0"/>
          <w:spacing w:val="-4"/>
        </w:rPr>
        <w:t>（1）应收的各种赔款、罚款；</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9"/>
        <w:jc w:val="left"/>
        <w:textAlignment w:val="baseline"/>
        <w:rPr>
          <w:rFonts w:hint="eastAsia"/>
          <w:color w:val="00B0F0"/>
          <w:spacing w:val="-4"/>
        </w:rPr>
      </w:pPr>
      <w:r>
        <w:rPr>
          <w:rFonts w:hint="eastAsia"/>
          <w:color w:val="00B0F0"/>
          <w:spacing w:val="-4"/>
        </w:rPr>
        <w:t>（2）应收的出租包装物租金；</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9"/>
        <w:jc w:val="left"/>
        <w:textAlignment w:val="baseline"/>
        <w:rPr>
          <w:rFonts w:hint="eastAsia"/>
          <w:color w:val="00B0F0"/>
          <w:spacing w:val="-4"/>
        </w:rPr>
      </w:pPr>
      <w:r>
        <w:rPr>
          <w:rFonts w:hint="eastAsia"/>
          <w:color w:val="00B0F0"/>
          <w:spacing w:val="-4"/>
        </w:rPr>
        <w:t>（3）应向职工收取的各种垫付款项；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9"/>
        <w:jc w:val="left"/>
        <w:textAlignment w:val="baseline"/>
        <w:rPr>
          <w:rFonts w:hint="eastAsia"/>
          <w:color w:val="00B0F0"/>
          <w:spacing w:val="-4"/>
        </w:rPr>
      </w:pPr>
      <w:r>
        <w:rPr>
          <w:rFonts w:hint="eastAsia"/>
          <w:color w:val="00B0F0"/>
          <w:spacing w:val="-4"/>
        </w:rPr>
        <w:t>（4）存出保证金；</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9"/>
        <w:jc w:val="left"/>
        <w:textAlignment w:val="baseline"/>
        <w:rPr>
          <w:rFonts w:ascii="Arial"/>
          <w:sz w:val="21"/>
        </w:rPr>
      </w:pPr>
      <w:r>
        <w:rPr>
          <w:rFonts w:hint="eastAsia"/>
          <w:color w:val="00B0F0"/>
          <w:spacing w:val="-4"/>
        </w:rPr>
        <w:t>（5）拨付给内部有关部门的备用金</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rFonts w:hint="eastAsia"/>
          <w:spacing w:val="-6"/>
        </w:rPr>
      </w:pPr>
      <w:r>
        <w:rPr>
          <w:spacing w:val="-6"/>
        </w:rPr>
        <w:t>11、存货采购成本的构成：</w:t>
      </w:r>
      <w:r>
        <w:rPr>
          <w:rFonts w:hint="eastAsia"/>
          <w:color w:val="FF0000"/>
          <w:spacing w:val="-6"/>
        </w:rPr>
        <w:t>买价、相关税费（不包含可抵扣增值税）、运杂费、合理损耗和入库前挑选整理费</w:t>
      </w:r>
      <w:r>
        <w:rPr>
          <w:rFonts w:hint="eastAsia"/>
          <w:spacing w:val="-6"/>
        </w:rPr>
        <w:t>等。</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rFonts w:hint="eastAsia"/>
          <w:spacing w:val="-6"/>
        </w:rPr>
      </w:pPr>
      <w:r>
        <w:rPr>
          <w:rFonts w:hint="eastAsia"/>
          <w:spacing w:val="-6"/>
        </w:rPr>
        <w:t>12、本期材料成本差异率计算公式：</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rFonts w:hint="eastAsia"/>
          <w:color w:val="FF0000"/>
          <w:spacing w:val="-6"/>
        </w:rPr>
      </w:pPr>
      <w:r>
        <w:rPr>
          <w:rFonts w:hint="eastAsia"/>
          <w:color w:val="FF0000"/>
          <w:spacing w:val="-6"/>
        </w:rPr>
        <w:t>本期材料成本差异率=（月初结存材料的成本差异+本月验收入库材料的成本差异）÷（月初</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rFonts w:hint="eastAsia"/>
          <w:spacing w:val="-6"/>
        </w:rPr>
      </w:pPr>
      <w:r>
        <w:rPr>
          <w:rFonts w:hint="eastAsia"/>
          <w:color w:val="FF0000"/>
          <w:spacing w:val="-6"/>
        </w:rPr>
        <w:t>结存材料的计划成本+本期验收入库材料的计划成本）×100%</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rFonts w:hint="eastAsia"/>
          <w:spacing w:val="-6"/>
        </w:rPr>
      </w:pPr>
      <w:r>
        <w:rPr>
          <w:rFonts w:hint="eastAsia"/>
          <w:spacing w:val="-6"/>
        </w:rPr>
        <w:t>13、计划成本法下，发出材料和期末材料实际成本计算公式：</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rFonts w:hint="eastAsia"/>
          <w:spacing w:val="-6"/>
        </w:rPr>
      </w:pPr>
      <w:r>
        <w:rPr>
          <w:rFonts w:hint="eastAsia"/>
          <w:spacing w:val="-6"/>
        </w:rPr>
        <w:t>发出材料的实际成本=发出材料的计划成本+发出材料的计划成本×材料成本差异率=发出材</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rFonts w:hint="eastAsia"/>
          <w:spacing w:val="-6"/>
        </w:rPr>
      </w:pPr>
      <w:r>
        <w:rPr>
          <w:rFonts w:hint="eastAsia"/>
          <w:spacing w:val="-6"/>
        </w:rPr>
        <w:t>料的计划成本×（1+材料成本差异率）</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rFonts w:hint="eastAsia"/>
          <w:spacing w:val="-6"/>
        </w:rPr>
      </w:pPr>
      <w:r>
        <w:rPr>
          <w:rFonts w:hint="eastAsia"/>
          <w:spacing w:val="-6"/>
        </w:rPr>
        <w:t>期末结存材料的实际成本=（期初结存材料的计划成本+本期验收入库材料的计划成本-发出材</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rFonts w:ascii="Arial"/>
          <w:sz w:val="21"/>
        </w:rPr>
      </w:pPr>
      <w:r>
        <w:rPr>
          <w:rFonts w:hint="eastAsia"/>
          <w:spacing w:val="-6"/>
        </w:rPr>
        <w:t>料的计划成本）×（1+材料成本差异率）</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7"/>
        <w:jc w:val="left"/>
        <w:textAlignment w:val="baseline"/>
        <w:rPr>
          <w:rFonts w:ascii="Arial"/>
          <w:sz w:val="21"/>
        </w:rPr>
      </w:pPr>
      <w:r>
        <w:rPr>
          <w:spacing w:val="-9"/>
        </w:rPr>
        <w:t>14、委托加工物资成本构成（一般纳税人</w:t>
      </w:r>
      <w:r>
        <w:rPr>
          <w:spacing w:val="-8"/>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jc w:val="left"/>
        <w:textAlignment w:val="baseline"/>
        <w:rPr>
          <w:rFonts w:ascii="Arial"/>
          <w:sz w:val="21"/>
        </w:rPr>
      </w:pPr>
      <w:r>
        <w:rPr>
          <w:color w:val="00B0F0"/>
          <w:spacing w:val="-4"/>
        </w:rPr>
        <w:t>委托加工物资成本的内容：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7"/>
        <w:jc w:val="left"/>
        <w:textAlignment w:val="baseline"/>
        <w:rPr>
          <w:rFonts w:ascii="Arial"/>
          <w:sz w:val="21"/>
        </w:rPr>
      </w:pPr>
      <w:r>
        <w:rPr>
          <w:spacing w:val="-4"/>
        </w:rPr>
        <w:t>①加工中实际耗用物资的成本；</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7"/>
        <w:jc w:val="left"/>
        <w:textAlignment w:val="baseline"/>
        <w:rPr>
          <w:rFonts w:ascii="Arial"/>
          <w:sz w:val="21"/>
        </w:rPr>
      </w:pPr>
      <w:r>
        <w:rPr>
          <w:spacing w:val="-3"/>
        </w:rPr>
        <w:t>②支付的加工费用及应负担的运杂费等；</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7"/>
        <w:jc w:val="left"/>
        <w:textAlignment w:val="baseline"/>
      </w:pPr>
      <w:r>
        <w:rPr>
          <w:spacing w:val="-1"/>
          <w:position w:val="16"/>
        </w:rPr>
        <w:t>③需要交纳消费税的委托加工物资，加工物资收回后</w:t>
      </w:r>
      <w:r>
        <w:rPr>
          <w:color w:val="00B050"/>
          <w:spacing w:val="-1"/>
          <w:position w:val="16"/>
        </w:rPr>
        <w:t>直接用于销售的</w:t>
      </w:r>
      <w:r>
        <w:rPr>
          <w:spacing w:val="-1"/>
          <w:position w:val="16"/>
        </w:rPr>
        <w:t>，由受托方代收</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9"/>
        <w:jc w:val="left"/>
        <w:textAlignment w:val="baseline"/>
        <w:rPr>
          <w:rFonts w:ascii="Arial"/>
          <w:sz w:val="21"/>
        </w:rPr>
      </w:pPr>
      <w:r>
        <w:rPr>
          <w:spacing w:val="-1"/>
        </w:rPr>
        <w:t>代缴的消费税应</w:t>
      </w:r>
      <w:r>
        <w:rPr>
          <w:color w:val="00B050"/>
          <w:spacing w:val="-1"/>
        </w:rPr>
        <w:t>计入加工物资成本</w:t>
      </w:r>
      <w:r>
        <w:rPr>
          <w:spacing w:val="-1"/>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r>
        <w:rPr>
          <w:color w:val="00B0F0"/>
          <w:spacing w:val="-9"/>
        </w:rPr>
        <w:t>不包括：</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7"/>
        <w:jc w:val="left"/>
        <w:textAlignment w:val="baseline"/>
        <w:rPr>
          <w:spacing w:val="-4"/>
        </w:rPr>
      </w:pPr>
      <w:r>
        <w:rPr>
          <w:spacing w:val="-4"/>
        </w:rPr>
        <w:t>①加工费的增值税进项税额</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rPr>
          <w:spacing w:val="-5"/>
        </w:rPr>
      </w:pPr>
      <w:r>
        <w:rPr>
          <w:spacing w:val="-5"/>
        </w:rPr>
        <w:t>②需要交纳消费税的委托加工物资，加工物资收回后</w:t>
      </w:r>
      <w:r>
        <w:rPr>
          <w:color w:val="00B050"/>
          <w:spacing w:val="-5"/>
        </w:rPr>
        <w:t>用于继续加工的</w:t>
      </w:r>
      <w:r>
        <w:rPr>
          <w:spacing w:val="-5"/>
        </w:rPr>
        <w:t>，由受托方代收代缴的消</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rPr>
          <w:rFonts w:ascii="Arial"/>
          <w:sz w:val="21"/>
        </w:rPr>
      </w:pPr>
      <w:r>
        <w:rPr>
          <w:spacing w:val="-5"/>
        </w:rPr>
        <w:t>费税应先记入</w:t>
      </w:r>
      <w:r>
        <w:rPr>
          <w:color w:val="00B050"/>
          <w:spacing w:val="-5"/>
        </w:rPr>
        <w:t>“应交税费——应交消费税”</w:t>
      </w:r>
      <w:r>
        <w:rPr>
          <w:spacing w:val="-5"/>
        </w:rPr>
        <w:t>科目的借方，</w:t>
      </w:r>
      <w:r>
        <w:rPr>
          <w:color w:val="00B050"/>
          <w:spacing w:val="-5"/>
        </w:rPr>
        <w:t>不计入</w:t>
      </w:r>
      <w:r>
        <w:rPr>
          <w:spacing w:val="-5"/>
        </w:rPr>
        <w:t>加工物资成本。</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rFonts w:ascii="Arial"/>
          <w:sz w:val="21"/>
        </w:rPr>
      </w:pPr>
      <w:r>
        <w:rPr>
          <w:spacing w:val="-3"/>
        </w:rPr>
        <w:t>15、库存商品的内容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pPr>
      <w:r>
        <w:rPr>
          <w:position w:val="15"/>
        </w:rPr>
        <w:t>库存商品具体包括：库存产成品、外购商品、存放在门市部准备出售的商品、发出展</w:t>
      </w:r>
      <w:r>
        <w:rPr>
          <w:spacing w:val="-1"/>
          <w:position w:val="15"/>
        </w:rPr>
        <w:t>览的商</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4"/>
        <w:jc w:val="left"/>
        <w:textAlignment w:val="baseline"/>
      </w:pPr>
      <w:r>
        <w:rPr>
          <w:spacing w:val="-16"/>
        </w:rPr>
        <w:t>品、</w:t>
      </w:r>
      <w:r>
        <w:rPr>
          <w:spacing w:val="-2"/>
        </w:rPr>
        <w:t>寄存在外的商品、接受来料加工制造的代制品和为外单位加工修理的代修品。</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jc w:val="left"/>
        <w:textAlignment w:val="baseline"/>
        <w:rPr>
          <w:spacing w:val="-3"/>
        </w:rPr>
      </w:pPr>
      <w:r>
        <w:rPr>
          <w:spacing w:val="-3"/>
        </w:rPr>
        <w:t>已完成销售手续、但购买单位在月末未提取的产品，不应作为企业的库存商品，而应作为代管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jc w:val="left"/>
        <w:textAlignment w:val="baseline"/>
        <w:rPr>
          <w:rFonts w:ascii="Arial"/>
          <w:sz w:val="21"/>
        </w:rPr>
      </w:pPr>
      <w:r>
        <w:rPr>
          <w:spacing w:val="-3"/>
        </w:rPr>
        <w:t>商品处理，单独设置代管商品备查簿进行登记。</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rFonts w:ascii="Arial"/>
          <w:sz w:val="21"/>
        </w:rPr>
      </w:pPr>
      <w:r>
        <w:rPr>
          <w:spacing w:val="-2"/>
        </w:rPr>
        <w:t>16、消耗性生物资产的成本确定</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rPr>
          <w:color w:val="00B0F0"/>
          <w:spacing w:val="-1"/>
        </w:rPr>
      </w:pPr>
      <w:r>
        <w:rPr>
          <w:color w:val="000000" w:themeColor="text1"/>
          <w:spacing w:val="-1"/>
          <w14:textFill>
            <w14:solidFill>
              <w14:schemeClr w14:val="tx1"/>
            </w14:solidFill>
          </w14:textFill>
        </w:rPr>
        <w:t>（1）自行栽培的大田作物和蔬菜的成本包括：</w:t>
      </w:r>
      <w:r>
        <w:rPr>
          <w:color w:val="00B0F0"/>
          <w:spacing w:val="-1"/>
        </w:rPr>
        <w:t>在收获前耗用的种子、肥料、农药等材料费、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rPr>
          <w:rFonts w:ascii="Arial"/>
          <w:sz w:val="21"/>
        </w:rPr>
      </w:pPr>
      <w:r>
        <w:rPr>
          <w:color w:val="00B0F0"/>
          <w:spacing w:val="-1"/>
        </w:rPr>
        <w:t>人工费和应分摊的间接费用</w:t>
      </w:r>
      <w:r>
        <w:rPr>
          <w:spacing w:val="-1"/>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r>
        <w:rPr>
          <w:spacing w:val="-5"/>
        </w:rPr>
        <w:t>（</w:t>
      </w:r>
      <w:r>
        <w:rPr>
          <w:spacing w:val="-4"/>
        </w:rPr>
        <w:t>2）自行营造的林木类消耗性生物资产的成本包括：</w:t>
      </w:r>
      <w:r>
        <w:rPr>
          <w:color w:val="00B0F0"/>
          <w:spacing w:val="-4"/>
        </w:rPr>
        <w:t>郁闭前</w:t>
      </w:r>
      <w:r>
        <w:rPr>
          <w:spacing w:val="-4"/>
        </w:rPr>
        <w:t>发生的造林费、抚育费、营林</w:t>
      </w:r>
      <w:r>
        <w:rPr>
          <w:spacing w:val="-3"/>
        </w:rPr>
        <w:t>设</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spacing w:val="-3"/>
          <w:position w:val="16"/>
        </w:rPr>
      </w:pPr>
      <w:r>
        <w:rPr>
          <w:spacing w:val="-3"/>
          <w:position w:val="16"/>
        </w:rPr>
        <w:t>施费、良种试验费、调查设计费和应分摊的间接费用。</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pPr>
      <w:r>
        <w:rPr>
          <w:spacing w:val="-3"/>
          <w:position w:val="16"/>
        </w:rPr>
        <w:t>（3</w:t>
      </w:r>
      <w:r>
        <w:rPr>
          <w:spacing w:val="-4"/>
          <w:position w:val="16"/>
        </w:rPr>
        <w:t>）自行繁殖的育肥畜的成本</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0"/>
        <w:jc w:val="left"/>
        <w:textAlignment w:val="baseline"/>
        <w:rPr>
          <w:rFonts w:ascii="Arial"/>
          <w:sz w:val="21"/>
        </w:rPr>
      </w:pPr>
      <w:r>
        <w:rPr>
          <w:spacing w:val="-7"/>
        </w:rPr>
        <w:t>包括：</w:t>
      </w:r>
      <w:r>
        <w:rPr>
          <w:color w:val="00B0F0"/>
          <w:spacing w:val="-7"/>
        </w:rPr>
        <w:t>出售前</w:t>
      </w:r>
      <w:r>
        <w:rPr>
          <w:spacing w:val="-7"/>
        </w:rPr>
        <w:t>发生的饲料费、人工费和应分摊的间接费用。</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5"/>
        <w:jc w:val="left"/>
        <w:textAlignment w:val="baseline"/>
      </w:pPr>
      <w:r>
        <w:rPr>
          <w:spacing w:val="-1"/>
          <w:position w:val="15"/>
        </w:rPr>
        <w:t>（4）水产养殖的动物和植物的成本包括：在</w:t>
      </w:r>
      <w:r>
        <w:rPr>
          <w:color w:val="00B0F0"/>
          <w:spacing w:val="-1"/>
          <w:position w:val="15"/>
        </w:rPr>
        <w:t>出售或入库前</w:t>
      </w:r>
      <w:r>
        <w:rPr>
          <w:spacing w:val="-1"/>
          <w:position w:val="15"/>
        </w:rPr>
        <w:t>耗用的苗种、饲料、肥料</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1"/>
        <w:jc w:val="left"/>
        <w:textAlignment w:val="baseline"/>
        <w:rPr>
          <w:rFonts w:ascii="Arial"/>
          <w:sz w:val="21"/>
        </w:rPr>
      </w:pPr>
      <w:r>
        <w:rPr>
          <w:spacing w:val="-9"/>
        </w:rPr>
        <w:t>等材料费、</w:t>
      </w:r>
      <w:r>
        <w:rPr>
          <w:spacing w:val="-4"/>
        </w:rPr>
        <w:t>人工费和应分摊的间接费用。</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spacing w:val="-12"/>
        </w:rPr>
      </w:pPr>
      <w:r>
        <w:rPr>
          <w:spacing w:val="-12"/>
        </w:rPr>
        <w:t>17、存货盘盈和盘亏会计核算：</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spacing w:val="-12"/>
        </w:rPr>
      </w:pPr>
      <w:r>
        <w:rPr>
          <w:spacing w:val="-12"/>
        </w:rPr>
        <w:t>存货盘盈的核算：</w:t>
      </w:r>
      <w:r>
        <w:rPr>
          <w:color w:val="00B050"/>
          <w:spacing w:val="-12"/>
        </w:rPr>
        <w:t>冲减管理费用</w:t>
      </w:r>
      <w:r>
        <w:rPr>
          <w:spacing w:val="-12"/>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pPr>
      <w:r>
        <w:rPr>
          <w:spacing w:val="-6"/>
        </w:rPr>
        <w:t>存货盘亏的核算：</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rPr>
          <w:color w:val="00B050"/>
        </w:rPr>
      </w:pPr>
      <w:r>
        <w:rPr>
          <w:color w:val="00B050"/>
        </w:rPr>
        <w:t>管理费用（因管理不善、一般经营损耗、收发计量差错造成）；</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jc w:val="left"/>
        <w:textAlignment w:val="baseline"/>
        <w:rPr>
          <w:rFonts w:ascii="Arial"/>
          <w:sz w:val="21"/>
        </w:rPr>
      </w:pPr>
      <w:r>
        <w:rPr>
          <w:color w:val="00B050"/>
          <w:spacing w:val="-13"/>
        </w:rPr>
        <w:t>营业外支出（自然灾害造成</w:t>
      </w:r>
      <w:r>
        <w:rPr>
          <w:color w:val="00B050"/>
          <w:spacing w:val="-4"/>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r>
        <w:rPr>
          <w:spacing w:val="-9"/>
          <w:w w:val="98"/>
        </w:rPr>
        <w:t>原材料（入库的残料价值</w:t>
      </w:r>
      <w:r>
        <w:rPr>
          <w:spacing w:val="-4"/>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pPr>
      <w:r>
        <w:rPr>
          <w:spacing w:val="-9"/>
        </w:rPr>
        <w:t>其他应收款（保险公司和个人的赔偿）。</w:t>
      </w:r>
    </w:p>
    <w:p>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94"/>
        <w:jc w:val="left"/>
        <w:textAlignment w:val="baseline"/>
        <w:rPr>
          <w:b/>
          <w:bCs/>
          <w:sz w:val="28"/>
          <w:szCs w:val="28"/>
        </w:rPr>
      </w:pPr>
      <w:r>
        <w:rPr>
          <w:b/>
          <w:bCs/>
          <w:sz w:val="28"/>
          <w:szCs w:val="28"/>
        </w:rPr>
        <w:t>第四章非流动资产</w:t>
      </w:r>
    </w:p>
    <w:p>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8"/>
        <w:jc w:val="left"/>
        <w:textAlignment w:val="baseline"/>
        <w:rPr>
          <w:rFonts w:ascii="Arial"/>
          <w:sz w:val="21"/>
        </w:rPr>
      </w:pPr>
      <w:r>
        <w:rPr>
          <w:spacing w:val="-6"/>
        </w:rPr>
        <w:t>1、企业的长期投资包括：</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rFonts w:ascii="Arial"/>
          <w:sz w:val="21"/>
        </w:rPr>
      </w:pPr>
      <w:r>
        <w:rPr>
          <w:color w:val="00B0F0"/>
          <w:spacing w:val="-2"/>
        </w:rPr>
        <w:t>债权投资、其他债权投资、长期股权投资、其他权益工具投资等对外投资。</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7"/>
        <w:jc w:val="left"/>
        <w:textAlignment w:val="baseline"/>
        <w:rPr>
          <w:rFonts w:ascii="Arial"/>
          <w:sz w:val="21"/>
        </w:rPr>
      </w:pPr>
      <w:r>
        <w:rPr>
          <w:spacing w:val="-6"/>
        </w:rPr>
        <w:t>2、投资性房地产包括：</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7"/>
        <w:jc w:val="left"/>
        <w:textAlignment w:val="baseline"/>
        <w:rPr>
          <w:rFonts w:ascii="Arial"/>
          <w:sz w:val="21"/>
        </w:rPr>
      </w:pPr>
      <w:r>
        <w:rPr>
          <w:color w:val="FF0000"/>
          <w:spacing w:val="-2"/>
        </w:rPr>
        <w:t>已租的土地使用权、持有并准备增值后转让的土地使用权、已出租的建筑物。</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0"/>
        <w:jc w:val="left"/>
        <w:textAlignment w:val="baseline"/>
        <w:rPr>
          <w:spacing w:val="-2"/>
        </w:rPr>
      </w:pPr>
      <w:r>
        <w:rPr>
          <w:spacing w:val="-2"/>
        </w:rPr>
        <w:t>企业自用房地产和作为存货的房地产不属于投资性房地产。</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0"/>
        <w:jc w:val="left"/>
        <w:textAlignment w:val="baseline"/>
        <w:rPr>
          <w:rFonts w:ascii="Arial"/>
          <w:sz w:val="21"/>
        </w:rPr>
      </w:pPr>
      <w:r>
        <w:rPr>
          <w:spacing w:val="-2"/>
        </w:rPr>
        <w:t>3、投资性房地产的确认时点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spacing w:val="-4"/>
        </w:rPr>
      </w:pPr>
      <w:r>
        <w:rPr>
          <w:spacing w:val="-4"/>
        </w:rPr>
        <w:t>（1）对已出租的土地使用权、已出租的建筑物，其作为投资性房地产的确认时点一般为租赁</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rFonts w:ascii="Arial"/>
          <w:sz w:val="21"/>
        </w:rPr>
      </w:pPr>
      <w:r>
        <w:rPr>
          <w:spacing w:val="-4"/>
        </w:rPr>
        <w:t>期开始日，即土地使用权、建筑物进入出租状态、</w:t>
      </w:r>
      <w:r>
        <w:rPr>
          <w:color w:val="00B050"/>
          <w:spacing w:val="-4"/>
        </w:rPr>
        <w:t>开</w:t>
      </w:r>
      <w:r>
        <w:rPr>
          <w:color w:val="00B050"/>
          <w:spacing w:val="-5"/>
        </w:rPr>
        <w:t>始赚取租金的日期</w:t>
      </w:r>
      <w:r>
        <w:rPr>
          <w:spacing w:val="-5"/>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jc w:val="left"/>
        <w:textAlignment w:val="baseline"/>
        <w:rPr>
          <w:spacing w:val="-1"/>
        </w:rPr>
      </w:pPr>
      <w:r>
        <w:rPr>
          <w:spacing w:val="-1"/>
        </w:rPr>
        <w:t>（2）对持有并准备增值后转让的土地使用权，其作为投资性房地产的确认时点为企业将自用</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jc w:val="left"/>
        <w:textAlignment w:val="baseline"/>
      </w:pPr>
      <w:r>
        <w:rPr>
          <w:spacing w:val="-1"/>
        </w:rPr>
        <w:t>土地使用权</w:t>
      </w:r>
      <w:r>
        <w:rPr>
          <w:color w:val="00B050"/>
          <w:spacing w:val="-1"/>
        </w:rPr>
        <w:t>停止自用、准备增值后转让的日期</w:t>
      </w:r>
      <w:r>
        <w:rPr>
          <w:spacing w:val="-1"/>
        </w:rPr>
        <w:t>。</w:t>
      </w:r>
    </w:p>
    <w:p>
      <w:pPr>
        <w:pStyle w:val="2"/>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1"/>
        <w:jc w:val="left"/>
        <w:textAlignment w:val="baseline"/>
        <w:rPr>
          <w:spacing w:val="-3"/>
        </w:rPr>
      </w:pPr>
      <w:r>
        <w:rPr>
          <w:spacing w:val="-3"/>
        </w:rPr>
        <w:t>计提固定资产折旧的范围：</w:t>
      </w:r>
    </w:p>
    <w:p>
      <w:pPr>
        <w:pStyle w:val="2"/>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1"/>
        <w:jc w:val="left"/>
        <w:textAlignment w:val="baseline"/>
        <w:rPr>
          <w:rFonts w:ascii="Arial"/>
          <w:sz w:val="21"/>
        </w:rPr>
      </w:pPr>
      <w:r>
        <w:rPr>
          <w:spacing w:val="-2"/>
        </w:rPr>
        <w:t>计提折旧的范围除以下情况外，企业应当对所有固定资产计提折旧：</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
        <w:jc w:val="left"/>
        <w:textAlignment w:val="baseline"/>
        <w:rPr>
          <w:color w:val="00B050"/>
          <w:spacing w:val="-5"/>
        </w:rPr>
      </w:pPr>
      <w:r>
        <w:rPr>
          <w:color w:val="00B050"/>
          <w:spacing w:val="-5"/>
        </w:rPr>
        <w:t>①已提足折旧仍继续使用的固定资产；</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
        <w:jc w:val="left"/>
        <w:textAlignment w:val="baseline"/>
        <w:rPr>
          <w:rFonts w:ascii="Arial"/>
          <w:sz w:val="21"/>
        </w:rPr>
      </w:pPr>
      <w:r>
        <w:rPr>
          <w:color w:val="00B050"/>
          <w:spacing w:val="-5"/>
        </w:rPr>
        <w:t>②单独计价入账的土地。</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r>
        <w:rPr>
          <w:color w:val="FF0000"/>
          <w:spacing w:val="-3"/>
        </w:rPr>
        <w:t>在确定计提折旧的范围时，还应注意以下几点：</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8"/>
        <w:jc w:val="left"/>
        <w:textAlignment w:val="baseline"/>
      </w:pPr>
      <w:r>
        <w:rPr>
          <w:spacing w:val="-1"/>
          <w:position w:val="15"/>
        </w:rPr>
        <w:t>（1）固定资产应当按月计提折旧，当月增加的固定资产，当月不提折旧，从下月</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30"/>
        <w:jc w:val="left"/>
        <w:textAlignment w:val="baseline"/>
        <w:rPr>
          <w:color w:val="FF0000"/>
          <w:spacing w:val="-1"/>
        </w:rPr>
      </w:pPr>
      <w:r>
        <w:rPr>
          <w:spacing w:val="-1"/>
        </w:rPr>
        <w:t>起计提；当</w:t>
      </w:r>
      <w:r>
        <w:rPr>
          <w:rFonts w:hint="eastAsia"/>
          <w:spacing w:val="-1"/>
        </w:rPr>
        <w:t>月减少的固定资产，当月仍提折旧，下月起不提。</w:t>
      </w:r>
      <w:r>
        <w:rPr>
          <w:rFonts w:hint="eastAsia"/>
          <w:color w:val="FF0000"/>
          <w:spacing w:val="-1"/>
        </w:rPr>
        <w:t>【折与不折，都在下月】</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8"/>
        <w:jc w:val="left"/>
        <w:textAlignment w:val="baseline"/>
        <w:rPr>
          <w:rFonts w:ascii="Arial"/>
          <w:sz w:val="21"/>
        </w:rPr>
      </w:pPr>
      <w:r>
        <w:rPr>
          <w:spacing w:val="-6"/>
        </w:rPr>
        <w:t>（2）固定资产</w:t>
      </w:r>
      <w:r>
        <w:rPr>
          <w:color w:val="00B050"/>
          <w:spacing w:val="-6"/>
        </w:rPr>
        <w:t>提足折旧后</w:t>
      </w:r>
      <w:r>
        <w:rPr>
          <w:spacing w:val="-6"/>
        </w:rPr>
        <w:t>，不论能否继续使用，</w:t>
      </w:r>
      <w:r>
        <w:rPr>
          <w:color w:val="00B050"/>
          <w:spacing w:val="-6"/>
        </w:rPr>
        <w:t>均不再</w:t>
      </w:r>
      <w:r>
        <w:rPr>
          <w:spacing w:val="-6"/>
        </w:rPr>
        <w:t>计提折旧；</w:t>
      </w:r>
      <w:r>
        <w:rPr>
          <w:color w:val="00B050"/>
          <w:spacing w:val="-8"/>
        </w:rPr>
        <w:t>提前报废</w:t>
      </w:r>
      <w:r>
        <w:rPr>
          <w:spacing w:val="-8"/>
        </w:rPr>
        <w:t>的固定资产，</w:t>
      </w:r>
      <w:r>
        <w:rPr>
          <w:color w:val="00B050"/>
          <w:spacing w:val="-8"/>
        </w:rPr>
        <w:t>也不再补提折旧</w:t>
      </w:r>
      <w:r>
        <w:rPr>
          <w:spacing w:val="-8"/>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8"/>
        <w:jc w:val="left"/>
        <w:textAlignment w:val="baseline"/>
      </w:pPr>
      <w:r>
        <w:rPr>
          <w:spacing w:val="-1"/>
          <w:position w:val="15"/>
        </w:rPr>
        <w:t>（3）已达到预定可使用状态但尚未办理竣工决算的固定资产，应当按照</w:t>
      </w:r>
      <w:r>
        <w:rPr>
          <w:color w:val="00B050"/>
          <w:spacing w:val="-1"/>
          <w:position w:val="15"/>
        </w:rPr>
        <w:t>估计价值</w:t>
      </w:r>
      <w:r>
        <w:rPr>
          <w:spacing w:val="-1"/>
          <w:position w:val="15"/>
        </w:rPr>
        <w:t>确定其成</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30"/>
        <w:jc w:val="left"/>
        <w:textAlignment w:val="baseline"/>
        <w:rPr>
          <w:rFonts w:ascii="Arial"/>
          <w:sz w:val="21"/>
        </w:rPr>
      </w:pPr>
      <w:r>
        <w:rPr>
          <w:spacing w:val="-13"/>
        </w:rPr>
        <w:t>本</w:t>
      </w:r>
      <w:r>
        <w:rPr>
          <w:rFonts w:hint="eastAsia"/>
          <w:spacing w:val="-13"/>
        </w:rPr>
        <w:t>并计提折旧；待办理竣工决算后，再按实际成本调整原来的暂估价值，但不</w:t>
      </w:r>
      <w:r>
        <w:rPr>
          <w:rFonts w:hint="eastAsia"/>
          <w:color w:val="FF0000"/>
          <w:spacing w:val="-13"/>
        </w:rPr>
        <w:t>需要调整原已计提</w:t>
      </w:r>
      <w:r>
        <w:rPr>
          <w:rFonts w:hint="eastAsia"/>
          <w:spacing w:val="-13"/>
        </w:rPr>
        <w:t>的折旧额。</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2"/>
        <w:jc w:val="left"/>
        <w:textAlignment w:val="baseline"/>
      </w:pPr>
      <w:r>
        <w:rPr>
          <w:spacing w:val="-3"/>
        </w:rPr>
        <w:t>5、双倍余额递减法和年数总和法的计算公式：</w:t>
      </w:r>
    </w:p>
    <w:p>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r>
        <w:rPr>
          <w:spacing w:val="-2"/>
        </w:rPr>
        <w:t>双倍余额递减法除最后两年，其他年限不考虑固定资产预计净残值。</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rFonts w:ascii="Arial"/>
          <w:sz w:val="21"/>
        </w:rPr>
      </w:pPr>
      <w:r>
        <w:rPr>
          <w:color w:val="FF0000"/>
          <w:spacing w:val="-5"/>
        </w:rPr>
        <w:t>年折旧率=2÷预计使用年限×100%（直</w:t>
      </w:r>
      <w:r>
        <w:rPr>
          <w:color w:val="FF0000"/>
          <w:spacing w:val="-6"/>
        </w:rPr>
        <w:t>线法折旧率的两倍）</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rFonts w:ascii="Arial"/>
          <w:sz w:val="21"/>
        </w:rPr>
      </w:pPr>
      <w:r>
        <w:rPr>
          <w:color w:val="00B050"/>
          <w:spacing w:val="-4"/>
        </w:rPr>
        <w:t>年折旧额=固定资产账面净值×年折旧率</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4"/>
        <w:jc w:val="left"/>
        <w:textAlignment w:val="baseline"/>
      </w:pPr>
      <w:r>
        <w:rPr>
          <w:color w:val="00B0F0"/>
          <w:spacing w:val="-2"/>
        </w:rPr>
        <w:t>固定资产账面净值=固定资产账面原值-累计计提的折旧</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rFonts w:ascii="Arial"/>
          <w:sz w:val="21"/>
        </w:rPr>
      </w:pPr>
      <w:r>
        <w:rPr>
          <w:color w:val="00B0F0"/>
          <w:spacing w:val="-1"/>
        </w:rPr>
        <w:t>年数总和法年折旧率=尚可使用年限/预计使用年限的年数总和×100%</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5"/>
        <w:jc w:val="left"/>
        <w:textAlignment w:val="baseline"/>
        <w:rPr>
          <w:spacing w:val="-4"/>
        </w:rPr>
      </w:pPr>
      <w:r>
        <w:rPr>
          <w:spacing w:val="-4"/>
        </w:rPr>
        <w:t>年折旧额=（固定资产原值-预计净残值）×年折旧率</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5"/>
        <w:jc w:val="left"/>
        <w:textAlignment w:val="baseline"/>
        <w:rPr>
          <w:rFonts w:ascii="Arial"/>
          <w:sz w:val="21"/>
        </w:rPr>
      </w:pPr>
      <w:r>
        <w:rPr>
          <w:spacing w:val="-4"/>
        </w:rPr>
        <w:t>6、更新改造后固定资产的入账价值：</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pPr>
      <w:r>
        <w:rPr>
          <w:color w:val="FF0000"/>
          <w:spacing w:val="-4"/>
          <w:position w:val="15"/>
        </w:rPr>
        <w:t>更新改造后固定资产的入账价值=（改造前固定资产</w:t>
      </w:r>
      <w:r>
        <w:rPr>
          <w:color w:val="FF0000"/>
          <w:spacing w:val="-5"/>
          <w:position w:val="15"/>
        </w:rPr>
        <w:t>的原值-累计折旧-固定资产减值</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1"/>
        <w:jc w:val="left"/>
        <w:textAlignment w:val="baseline"/>
      </w:pPr>
      <w:r>
        <w:rPr>
          <w:color w:val="FF0000"/>
          <w:spacing w:val="-7"/>
        </w:rPr>
        <w:t>准备）+资本化的更新改造费用-被替换部分的账面价值。</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4"/>
        <w:jc w:val="left"/>
        <w:textAlignment w:val="baseline"/>
        <w:rPr>
          <w:rFonts w:ascii="Arial"/>
          <w:sz w:val="21"/>
        </w:rPr>
      </w:pPr>
      <w:r>
        <w:rPr>
          <w:spacing w:val="-5"/>
        </w:rPr>
        <w:t>7、固定资产盘盈和盘亏会计核算：</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8"/>
        <w:jc w:val="left"/>
        <w:textAlignment w:val="baseline"/>
      </w:pPr>
      <w:r>
        <w:rPr>
          <w:spacing w:val="-1"/>
          <w:position w:val="15"/>
        </w:rPr>
        <w:t>（1）企业在财产清查中</w:t>
      </w:r>
      <w:r>
        <w:rPr>
          <w:color w:val="FF0000"/>
          <w:spacing w:val="-1"/>
          <w:position w:val="15"/>
        </w:rPr>
        <w:t>盘盈的固定资产</w:t>
      </w:r>
      <w:r>
        <w:rPr>
          <w:spacing w:val="-1"/>
          <w:position w:val="15"/>
        </w:rPr>
        <w:t>，作为</w:t>
      </w:r>
      <w:r>
        <w:rPr>
          <w:color w:val="FF0000"/>
          <w:spacing w:val="-1"/>
          <w:position w:val="15"/>
        </w:rPr>
        <w:t>前期差错处理</w:t>
      </w:r>
      <w:r>
        <w:rPr>
          <w:spacing w:val="-1"/>
          <w:position w:val="15"/>
        </w:rPr>
        <w:t>，计入</w:t>
      </w:r>
      <w:r>
        <w:rPr>
          <w:color w:val="FF0000"/>
          <w:spacing w:val="-1"/>
          <w:position w:val="15"/>
        </w:rPr>
        <w:t>以前年度损益</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27"/>
        <w:jc w:val="left"/>
        <w:textAlignment w:val="baseline"/>
        <w:rPr>
          <w:rFonts w:ascii="Arial"/>
          <w:sz w:val="21"/>
        </w:rPr>
      </w:pPr>
      <w:r>
        <w:rPr>
          <w:color w:val="FF0000"/>
          <w:spacing w:val="-2"/>
        </w:rPr>
        <w:t>调整</w:t>
      </w:r>
      <w:r>
        <w:rPr>
          <w:spacing w:val="-2"/>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8"/>
        <w:jc w:val="left"/>
        <w:textAlignment w:val="baseline"/>
        <w:rPr>
          <w:rFonts w:ascii="Arial"/>
          <w:sz w:val="21"/>
        </w:rPr>
      </w:pPr>
      <w:r>
        <w:rPr>
          <w:spacing w:val="-1"/>
        </w:rPr>
        <w:t>（2）固定</w:t>
      </w:r>
      <w:r>
        <w:rPr>
          <w:color w:val="FF0000"/>
          <w:spacing w:val="-1"/>
        </w:rPr>
        <w:t>资产盘亏</w:t>
      </w:r>
      <w:r>
        <w:rPr>
          <w:spacing w:val="-1"/>
        </w:rPr>
        <w:t>时，计入</w:t>
      </w:r>
      <w:r>
        <w:rPr>
          <w:color w:val="FF0000"/>
          <w:spacing w:val="-1"/>
        </w:rPr>
        <w:t>营业外支出、其他应</w:t>
      </w:r>
      <w:r>
        <w:rPr>
          <w:color w:val="FF0000"/>
          <w:spacing w:val="-2"/>
        </w:rPr>
        <w:t>收款</w:t>
      </w:r>
      <w:r>
        <w:rPr>
          <w:spacing w:val="-2"/>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3"/>
        <w:jc w:val="left"/>
        <w:textAlignment w:val="baseline"/>
        <w:rPr>
          <w:rFonts w:ascii="Arial"/>
          <w:sz w:val="21"/>
        </w:rPr>
      </w:pPr>
      <w:r>
        <w:rPr>
          <w:spacing w:val="-2"/>
        </w:rPr>
        <w:t>8、采用公允价值计量的生物资产，应当</w:t>
      </w:r>
      <w:r>
        <w:rPr>
          <w:color w:val="00B0F0"/>
          <w:spacing w:val="-2"/>
        </w:rPr>
        <w:t>同时满足</w:t>
      </w:r>
      <w:r>
        <w:rPr>
          <w:spacing w:val="-2"/>
        </w:rPr>
        <w:t>下列两个条件：</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
        <w:jc w:val="left"/>
        <w:textAlignment w:val="baseline"/>
      </w:pPr>
      <w:r>
        <w:rPr>
          <w:spacing w:val="-4"/>
        </w:rPr>
        <w:t>①生物资产</w:t>
      </w:r>
      <w:r>
        <w:rPr>
          <w:color w:val="00B0F0"/>
          <w:spacing w:val="-4"/>
        </w:rPr>
        <w:t>有活跃的</w:t>
      </w:r>
      <w:r>
        <w:rPr>
          <w:spacing w:val="-4"/>
        </w:rPr>
        <w:t>交易市场；</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spacing w:val="-5"/>
        </w:rPr>
      </w:pPr>
      <w:r>
        <w:rPr>
          <w:spacing w:val="-5"/>
        </w:rPr>
        <w:t>②能够从交易市场上</w:t>
      </w:r>
      <w:r>
        <w:rPr>
          <w:color w:val="00B0F0"/>
          <w:spacing w:val="-5"/>
        </w:rPr>
        <w:t>取得同类或类似</w:t>
      </w:r>
      <w:r>
        <w:rPr>
          <w:spacing w:val="-5"/>
        </w:rPr>
        <w:t>生物资产的市场价格及其他相关信息，从而对生物资产的</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r>
        <w:rPr>
          <w:spacing w:val="-5"/>
        </w:rPr>
        <w:t>公允价值作出合理估计。</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3"/>
        <w:jc w:val="left"/>
        <w:textAlignment w:val="baseline"/>
        <w:rPr>
          <w:rFonts w:ascii="Arial"/>
          <w:sz w:val="21"/>
        </w:rPr>
      </w:pPr>
      <w:r>
        <w:rPr>
          <w:spacing w:val="-11"/>
        </w:rPr>
        <w:t>9、哪些不属于无形资产？</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rPr>
          <w:rFonts w:ascii="Arial"/>
          <w:sz w:val="21"/>
        </w:rPr>
      </w:pPr>
      <w:r>
        <w:rPr>
          <w:color w:val="00B050"/>
          <w:spacing w:val="-5"/>
        </w:rPr>
        <w:t>商誉不属于无形资产。</w:t>
      </w:r>
      <w:r>
        <w:rPr>
          <w:spacing w:val="-5"/>
        </w:rPr>
        <w:t>企业内部产生的品牌、报刊名等，不应确</w:t>
      </w:r>
      <w:r>
        <w:rPr>
          <w:spacing w:val="-6"/>
        </w:rPr>
        <w:t>认为无形资产。</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6"/>
        <w:jc w:val="left"/>
        <w:textAlignment w:val="baseline"/>
        <w:rPr>
          <w:rFonts w:ascii="Arial"/>
          <w:sz w:val="21"/>
        </w:rPr>
      </w:pPr>
      <w:r>
        <w:rPr>
          <w:spacing w:val="-5"/>
        </w:rPr>
        <w:t>10、无形资产研发支出的会计核算：</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pPr>
      <w:r>
        <w:rPr>
          <w:color w:val="FF0000"/>
          <w:spacing w:val="-1"/>
        </w:rPr>
        <w:t>研究阶段</w:t>
      </w:r>
      <w:r>
        <w:rPr>
          <w:spacing w:val="-1"/>
        </w:rPr>
        <w:t>的支出计入</w:t>
      </w:r>
      <w:r>
        <w:rPr>
          <w:color w:val="FF0000"/>
          <w:spacing w:val="-1"/>
        </w:rPr>
        <w:t>当期损益</w:t>
      </w:r>
      <w:r>
        <w:rPr>
          <w:spacing w:val="-1"/>
        </w:rPr>
        <w:t>，借记“研发支出——费用化支出”科</w:t>
      </w:r>
      <w:r>
        <w:rPr>
          <w:spacing w:val="-2"/>
        </w:rPr>
        <w:t>目。</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color w:val="FF0000"/>
          <w:spacing w:val="-1"/>
        </w:rPr>
      </w:pPr>
      <w:r>
        <w:rPr>
          <w:color w:val="FF0000"/>
          <w:spacing w:val="-1"/>
        </w:rPr>
        <w:t>开发阶段</w:t>
      </w:r>
      <w:r>
        <w:rPr>
          <w:color w:val="000000" w:themeColor="text1"/>
          <w:spacing w:val="-1"/>
          <w14:textFill>
            <w14:solidFill>
              <w14:schemeClr w14:val="tx1"/>
            </w14:solidFill>
          </w14:textFill>
        </w:rPr>
        <w:t>的支出，</w:t>
      </w:r>
      <w:r>
        <w:rPr>
          <w:color w:val="FF0000"/>
          <w:spacing w:val="-1"/>
        </w:rPr>
        <w:t>符合资本化条件的，借记“研发支出——资本化支出”科目，计入无形资产</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color w:val="FF0000"/>
          <w:spacing w:val="-1"/>
        </w:rPr>
        <w:sectPr>
          <w:pgSz w:w="11907" w:h="16841"/>
          <w:pgMar w:top="1431" w:right="868" w:bottom="0" w:left="1080" w:header="0" w:footer="0" w:gutter="0"/>
          <w:cols w:space="720" w:num="1"/>
        </w:sectPr>
      </w:pP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r>
        <w:rPr>
          <w:color w:val="FF0000"/>
          <w:spacing w:val="-1"/>
        </w:rPr>
        <w:t>成本</w:t>
      </w:r>
      <w:r>
        <w:rPr>
          <w:spacing w:val="-1"/>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r>
        <w:rPr>
          <w:color w:val="FF0000"/>
        </w:rPr>
        <w:t>不符合资本化条件</w:t>
      </w:r>
      <w:r>
        <w:t>的，借记“研发支出——费用化支出”科目，计入</w:t>
      </w:r>
      <w:r>
        <w:rPr>
          <w:color w:val="FF0000"/>
        </w:rPr>
        <w:t>当期损</w:t>
      </w:r>
      <w:r>
        <w:rPr>
          <w:color w:val="FF0000"/>
          <w:spacing w:val="-1"/>
        </w:rPr>
        <w:t>益</w:t>
      </w:r>
      <w:r>
        <w:rPr>
          <w:spacing w:val="-1"/>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rPr>
          <w:color w:val="00B050"/>
          <w:spacing w:val="-7"/>
        </w:rPr>
      </w:pPr>
      <w:r>
        <w:rPr>
          <w:color w:val="000000" w:themeColor="text1"/>
          <w:spacing w:val="-7"/>
          <w14:textFill>
            <w14:solidFill>
              <w14:schemeClr w14:val="tx1"/>
            </w14:solidFill>
          </w14:textFill>
        </w:rPr>
        <w:t>研发支出如果</w:t>
      </w:r>
      <w:r>
        <w:rPr>
          <w:color w:val="00B050"/>
          <w:spacing w:val="-7"/>
        </w:rPr>
        <w:t>无法区分研究阶段和开发阶段，</w:t>
      </w:r>
      <w:r>
        <w:rPr>
          <w:color w:val="000000" w:themeColor="text1"/>
          <w:spacing w:val="-7"/>
          <w14:textFill>
            <w14:solidFill>
              <w14:schemeClr w14:val="tx1"/>
            </w14:solidFill>
          </w14:textFill>
        </w:rPr>
        <w:t>那么发生的支出应该</w:t>
      </w:r>
      <w:r>
        <w:rPr>
          <w:color w:val="00B050"/>
          <w:spacing w:val="-7"/>
        </w:rPr>
        <w:t>全部费用化处理，通过管理</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rPr>
          <w:rFonts w:ascii="Arial"/>
          <w:sz w:val="21"/>
        </w:rPr>
      </w:pPr>
      <w:r>
        <w:rPr>
          <w:color w:val="00B050"/>
          <w:spacing w:val="-7"/>
        </w:rPr>
        <w:t>费用</w:t>
      </w:r>
      <w:r>
        <w:rPr>
          <w:spacing w:val="-7"/>
        </w:rPr>
        <w:t>核算。</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7"/>
        <w:jc w:val="left"/>
        <w:textAlignment w:val="baseline"/>
        <w:rPr>
          <w:rFonts w:ascii="Arial"/>
          <w:sz w:val="21"/>
        </w:rPr>
      </w:pPr>
      <w:r>
        <w:rPr>
          <w:spacing w:val="-5"/>
        </w:rPr>
        <w:t>11、无形资产摊销的范围和时间：</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rPr>
          <w:spacing w:val="-14"/>
        </w:rPr>
      </w:pPr>
      <w:r>
        <w:rPr>
          <w:spacing w:val="-14"/>
        </w:rPr>
        <w:t>使用寿命不确定的无形资产不应摊销。对于使用寿命有限的无形资产应当自可供使用（即其达</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rPr>
          <w:rFonts w:ascii="Arial"/>
          <w:sz w:val="21"/>
        </w:rPr>
      </w:pPr>
      <w:r>
        <w:rPr>
          <w:spacing w:val="-14"/>
        </w:rPr>
        <w:t>到预定用途）</w:t>
      </w:r>
      <w:r>
        <w:rPr>
          <w:color w:val="00B050"/>
          <w:spacing w:val="-14"/>
        </w:rPr>
        <w:t>当月</w:t>
      </w:r>
      <w:r>
        <w:rPr>
          <w:spacing w:val="-14"/>
        </w:rPr>
        <w:t>起开始摊销，</w:t>
      </w:r>
      <w:r>
        <w:rPr>
          <w:color w:val="00B050"/>
          <w:spacing w:val="-14"/>
        </w:rPr>
        <w:t>处置当月不再摊销</w:t>
      </w:r>
      <w:r>
        <w:rPr>
          <w:spacing w:val="-14"/>
        </w:rPr>
        <w:t>。</w:t>
      </w:r>
      <w:r>
        <w:rPr>
          <w:color w:val="FF0000"/>
          <w:spacing w:val="-14"/>
        </w:rPr>
        <w:t>【摊与不摊，都在当月】</w:t>
      </w:r>
    </w:p>
    <w:p>
      <w:pPr>
        <w:pStyle w:val="2"/>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37"/>
        <w:jc w:val="left"/>
        <w:textAlignment w:val="baseline"/>
        <w:rPr>
          <w:rFonts w:ascii="Arial"/>
          <w:sz w:val="21"/>
        </w:rPr>
      </w:pPr>
      <w:r>
        <w:rPr>
          <w:spacing w:val="-3"/>
        </w:rPr>
        <w:t>无形资产摊销的方法：无形资产摊销方法包括</w:t>
      </w:r>
      <w:r>
        <w:rPr>
          <w:color w:val="00B050"/>
          <w:spacing w:val="-3"/>
        </w:rPr>
        <w:t>年限平均法（即直线法）、生产</w:t>
      </w:r>
      <w:r>
        <w:rPr>
          <w:rFonts w:hint="eastAsia"/>
          <w:color w:val="00B050"/>
          <w:spacing w:val="-3"/>
        </w:rPr>
        <w:t>总量法等。无法可靠确定无形资产有关</w:t>
      </w:r>
      <w:r>
        <w:rPr>
          <w:rFonts w:hint="eastAsia"/>
          <w:color w:val="00B050"/>
          <w:spacing w:val="-3"/>
          <w:lang w:eastAsia="zh-CN"/>
        </w:rPr>
        <w:t>；</w:t>
      </w:r>
      <w:r>
        <w:rPr>
          <w:rFonts w:hint="eastAsia"/>
          <w:color w:val="00B050"/>
          <w:spacing w:val="-3"/>
        </w:rPr>
        <w:t>经济利益的预期消耗方式的应当采用直线法摊销。</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7"/>
        <w:jc w:val="left"/>
        <w:textAlignment w:val="baseline"/>
        <w:rPr>
          <w:rFonts w:ascii="Arial"/>
          <w:sz w:val="21"/>
        </w:rPr>
      </w:pPr>
      <w:r>
        <w:rPr>
          <w:spacing w:val="-8"/>
        </w:rPr>
        <w:t>13、各项资产减值准备是否可以转回？</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9"/>
        <w:jc w:val="left"/>
        <w:textAlignment w:val="baseline"/>
        <w:rPr>
          <w:rFonts w:ascii="Arial"/>
          <w:sz w:val="21"/>
        </w:rPr>
      </w:pPr>
      <w:r>
        <w:rPr>
          <w:spacing w:val="-2"/>
        </w:rPr>
        <w:t>（1）</w:t>
      </w:r>
      <w:r>
        <w:rPr>
          <w:color w:val="FF0000"/>
          <w:spacing w:val="-2"/>
        </w:rPr>
        <w:t>可以转回的减值准备：应收账款的坏账准备、存</w:t>
      </w:r>
      <w:r>
        <w:rPr>
          <w:color w:val="FF0000"/>
          <w:spacing w:val="-3"/>
        </w:rPr>
        <w:t>货的跌价准备。</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3"/>
        <w:jc w:val="left"/>
        <w:textAlignment w:val="baseline"/>
        <w:rPr>
          <w:spacing w:val="-3"/>
        </w:rPr>
      </w:pPr>
      <w:r>
        <w:rPr>
          <w:spacing w:val="-3"/>
        </w:rPr>
        <w:t>（2）</w:t>
      </w:r>
      <w:r>
        <w:rPr>
          <w:color w:val="FF0000"/>
          <w:spacing w:val="-3"/>
        </w:rPr>
        <w:t>不可以转回的减值准备：固定资产的减值准备、无形资产减值准备。</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3"/>
        <w:jc w:val="left"/>
        <w:textAlignment w:val="baseline"/>
        <w:rPr>
          <w:rFonts w:ascii="Arial"/>
          <w:sz w:val="21"/>
        </w:rPr>
      </w:pPr>
      <w:r>
        <w:rPr>
          <w:spacing w:val="-3"/>
        </w:rPr>
        <w:t>14、长期待摊费用业务举例</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0"/>
        <w:jc w:val="left"/>
        <w:textAlignment w:val="baseline"/>
      </w:pPr>
      <w:r>
        <w:rPr>
          <w:spacing w:val="-1"/>
          <w:position w:val="40"/>
        </w:rPr>
        <w:t>以经营租赁方式租入的固定资产发生的改良支出记入</w:t>
      </w:r>
      <w:r>
        <w:rPr>
          <w:color w:val="FF0000"/>
          <w:spacing w:val="-1"/>
          <w:position w:val="40"/>
        </w:rPr>
        <w:t>“长期</w:t>
      </w:r>
      <w:r>
        <w:rPr>
          <w:color w:val="FF0000"/>
          <w:spacing w:val="-2"/>
          <w:position w:val="40"/>
        </w:rPr>
        <w:t>待摊费用”</w:t>
      </w:r>
      <w:r>
        <w:rPr>
          <w:spacing w:val="-2"/>
          <w:position w:val="40"/>
        </w:rPr>
        <w:t>科目。</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254"/>
        <w:jc w:val="left"/>
        <w:textAlignment w:val="baseline"/>
        <w:rPr>
          <w:b/>
          <w:bCs/>
          <w:sz w:val="28"/>
          <w:szCs w:val="28"/>
        </w:rPr>
      </w:pPr>
      <w:r>
        <w:rPr>
          <w:b/>
          <w:bCs/>
          <w:sz w:val="28"/>
          <w:szCs w:val="28"/>
        </w:rPr>
        <w:t>第五章负债</w:t>
      </w:r>
    </w:p>
    <w:p>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7"/>
        <w:jc w:val="left"/>
        <w:textAlignment w:val="baseline"/>
        <w:rPr>
          <w:rFonts w:ascii="Arial"/>
          <w:sz w:val="21"/>
        </w:rPr>
      </w:pPr>
      <w:r>
        <w:rPr>
          <w:spacing w:val="-10"/>
        </w:rPr>
        <w:t>1、无法归还的应付账款如何处理？</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pPr>
      <w:r>
        <w:rPr>
          <w:color w:val="00B0F0"/>
          <w:spacing w:val="-1"/>
        </w:rPr>
        <w:t>借：应付账款</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58"/>
        <w:jc w:val="left"/>
        <w:textAlignment w:val="baseline"/>
        <w:rPr>
          <w:rFonts w:ascii="Arial"/>
          <w:sz w:val="21"/>
        </w:rPr>
      </w:pPr>
      <w:r>
        <w:rPr>
          <w:color w:val="00B0F0"/>
          <w:spacing w:val="-1"/>
        </w:rPr>
        <w:t>贷：营业外收入</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7"/>
        <w:jc w:val="left"/>
        <w:textAlignment w:val="baseline"/>
        <w:rPr>
          <w:rFonts w:ascii="Arial"/>
          <w:sz w:val="21"/>
        </w:rPr>
      </w:pPr>
      <w:r>
        <w:rPr>
          <w:spacing w:val="-8"/>
        </w:rPr>
        <w:t>2、商业汇票</w:t>
      </w:r>
      <w:r>
        <w:rPr>
          <w:color w:val="FF0000"/>
          <w:spacing w:val="-8"/>
        </w:rPr>
        <w:t>到期无力偿付</w:t>
      </w:r>
      <w:r>
        <w:rPr>
          <w:spacing w:val="-8"/>
        </w:rPr>
        <w:t>如何处理？</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jc w:val="left"/>
        <w:textAlignment w:val="baseline"/>
        <w:rPr>
          <w:color w:val="FF0000"/>
          <w:spacing w:val="-1"/>
        </w:rPr>
      </w:pPr>
      <w:r>
        <w:rPr>
          <w:color w:val="FF0000"/>
          <w:spacing w:val="-1"/>
        </w:rPr>
        <w:t>银行承兑汇票到期无力偿还，转为对银行的短期借款；</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jc w:val="left"/>
        <w:textAlignment w:val="baseline"/>
        <w:rPr>
          <w:rFonts w:ascii="Arial"/>
          <w:sz w:val="21"/>
        </w:rPr>
      </w:pPr>
      <w:r>
        <w:rPr>
          <w:color w:val="FF0000"/>
          <w:spacing w:val="-1"/>
        </w:rPr>
        <w:t>商业承兑汇票</w:t>
      </w:r>
      <w:r>
        <w:rPr>
          <w:spacing w:val="-1"/>
        </w:rPr>
        <w:t>到期无力偿还，转入</w:t>
      </w:r>
      <w:r>
        <w:rPr>
          <w:color w:val="FF0000"/>
          <w:spacing w:val="-1"/>
        </w:rPr>
        <w:t>应付账款</w:t>
      </w:r>
      <w:r>
        <w:rPr>
          <w:spacing w:val="-1"/>
        </w:rPr>
        <w:t>。</w:t>
      </w:r>
    </w:p>
    <w:p>
      <w:pPr>
        <w:pStyle w:val="2"/>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30"/>
        <w:jc w:val="left"/>
        <w:textAlignment w:val="baseline"/>
        <w:rPr>
          <w:spacing w:val="-8"/>
        </w:rPr>
      </w:pPr>
      <w:r>
        <w:rPr>
          <w:spacing w:val="-8"/>
        </w:rPr>
        <w:t>应付职工薪酬的内容主要有哪些？</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pPr>
      <w:r>
        <w:rPr>
          <w:color w:val="00B0F0"/>
          <w:position w:val="15"/>
        </w:rPr>
        <w:t>应付职工薪酬</w:t>
      </w:r>
      <w:r>
        <w:rPr>
          <w:position w:val="15"/>
        </w:rPr>
        <w:t>是企业根据有关规定应付给职工的各种薪酬，包括</w:t>
      </w:r>
      <w:r>
        <w:rPr>
          <w:color w:val="00B0F0"/>
          <w:position w:val="15"/>
        </w:rPr>
        <w:t>职工工资、奖金、津贴和补</w:t>
      </w:r>
      <w:r>
        <w:rPr>
          <w:rFonts w:hint="eastAsia"/>
          <w:color w:val="00B0F0"/>
          <w:position w:val="15"/>
        </w:rPr>
        <w:t>贴，职工福利费，医疗、工伤等社会保险费，住房公积金，工会经费，职工教育经费，短期带薪缺勤，短期利润分享计划，其他短期薪酬，离职后福利，辞退福利和其他长期职工福利。</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5"/>
        <w:jc w:val="left"/>
        <w:textAlignment w:val="baseline"/>
        <w:rPr>
          <w:rFonts w:ascii="Arial"/>
          <w:sz w:val="21"/>
        </w:rPr>
      </w:pPr>
      <w:r>
        <w:rPr>
          <w:spacing w:val="-4"/>
        </w:rPr>
        <w:t>4、自产产品作为福利发放给职工的会计处理：</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ascii="Arial"/>
          <w:sz w:val="21"/>
        </w:rPr>
      </w:pPr>
      <w:r>
        <w:t>企业以其</w:t>
      </w:r>
      <w:r>
        <w:rPr>
          <w:color w:val="FF0000"/>
        </w:rPr>
        <w:t>自产产品</w:t>
      </w:r>
      <w:r>
        <w:t>作为非货币性福利发放给职工的，应当根据受益对象，按照该产品的</w:t>
      </w:r>
      <w:r>
        <w:rPr>
          <w:color w:val="FF0000"/>
        </w:rPr>
        <w:t>公允价</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spacing w:val="-4"/>
        </w:rPr>
      </w:pPr>
      <w:r>
        <w:rPr>
          <w:color w:val="FF0000"/>
          <w:spacing w:val="-3"/>
        </w:rPr>
        <w:t>值（价税合计</w:t>
      </w:r>
      <w:r>
        <w:rPr>
          <w:color w:val="FF0000"/>
          <w:spacing w:val="-6"/>
        </w:rPr>
        <w:t>）</w:t>
      </w:r>
      <w:r>
        <w:rPr>
          <w:spacing w:val="-6"/>
        </w:rPr>
        <w:t>，</w:t>
      </w:r>
      <w:r>
        <w:rPr>
          <w:spacing w:val="-3"/>
        </w:rPr>
        <w:t>计入</w:t>
      </w:r>
      <w:r>
        <w:rPr>
          <w:color w:val="FF0000"/>
          <w:spacing w:val="-3"/>
        </w:rPr>
        <w:t>相关资产成本</w:t>
      </w:r>
      <w:r>
        <w:rPr>
          <w:spacing w:val="-3"/>
        </w:rPr>
        <w:t>或</w:t>
      </w:r>
      <w:r>
        <w:rPr>
          <w:color w:val="FF0000"/>
          <w:spacing w:val="-3"/>
        </w:rPr>
        <w:t>当期损益</w:t>
      </w:r>
      <w:r>
        <w:rPr>
          <w:spacing w:val="-3"/>
        </w:rPr>
        <w:t>，同时</w:t>
      </w:r>
      <w:r>
        <w:rPr>
          <w:spacing w:val="-4"/>
        </w:rPr>
        <w:t>确认</w:t>
      </w:r>
      <w:r>
        <w:rPr>
          <w:color w:val="FF0000"/>
          <w:spacing w:val="-4"/>
        </w:rPr>
        <w:t>应付职工薪酬</w:t>
      </w:r>
      <w:r>
        <w:rPr>
          <w:spacing w:val="-4"/>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rFonts w:ascii="Arial"/>
          <w:sz w:val="21"/>
        </w:rPr>
      </w:pPr>
      <w:r>
        <w:rPr>
          <w:spacing w:val="-4"/>
        </w:rPr>
        <w:t>5、</w:t>
      </w:r>
      <w:r>
        <w:rPr>
          <w:color w:val="00B050"/>
          <w:spacing w:val="-4"/>
        </w:rPr>
        <w:t>增值税进项</w:t>
      </w:r>
      <w:r>
        <w:rPr>
          <w:color w:val="00B050"/>
          <w:spacing w:val="-11"/>
        </w:rPr>
        <w:t>税额转出</w:t>
      </w:r>
      <w:r>
        <w:rPr>
          <w:spacing w:val="-11"/>
        </w:rPr>
        <w:t>的情形有哪些？</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pPr>
      <w:r>
        <w:t>A.将购进的货物等事后改变用途（如用于简易计税项目、免征增值税项目、非增值税应税项目</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rFonts w:ascii="Arial"/>
          <w:sz w:val="21"/>
        </w:rPr>
      </w:pPr>
      <w:r>
        <w:t>等）；</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color w:val="00B050"/>
        </w:rPr>
      </w:pPr>
      <w:r>
        <w:t>B.发生非正常损失。（是指因</w:t>
      </w:r>
      <w:r>
        <w:rPr>
          <w:color w:val="00B050"/>
        </w:rPr>
        <w:t>管理不善造成货物被盗、丢失、霉烂变质，以及因违反法律法规</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jc w:val="left"/>
        <w:textAlignment w:val="baseline"/>
        <w:rPr>
          <w:rFonts w:ascii="Arial"/>
          <w:sz w:val="21"/>
        </w:rPr>
      </w:pPr>
      <w:r>
        <w:rPr>
          <w:color w:val="00B050"/>
        </w:rPr>
        <w:t>造成货物或者不动产被依法没收、销毁、拆除的情形</w:t>
      </w:r>
      <w: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jc w:val="left"/>
        <w:textAlignment w:val="baseline"/>
      </w:pPr>
      <w:r>
        <w:rPr>
          <w:position w:val="15"/>
        </w:rPr>
        <w:t>符合以上情形，原已计入进项税额、待抵扣进项税额或待认证进项税额不得从销</w:t>
      </w:r>
      <w:r>
        <w:rPr>
          <w:spacing w:val="-1"/>
          <w:position w:val="15"/>
        </w:rPr>
        <w:t>项税额中抵</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2"/>
        <w:jc w:val="left"/>
        <w:textAlignment w:val="baseline"/>
      </w:pPr>
      <w:r>
        <w:rPr>
          <w:spacing w:val="-13"/>
        </w:rPr>
        <w:t>扣。</w:t>
      </w:r>
    </w:p>
    <w:p>
      <w:r>
        <w:br w:type="page"/>
      </w:r>
    </w:p>
    <w:p>
      <w:pPr>
        <w:rPr>
          <w:rFonts w:hint="eastAsia"/>
        </w:rPr>
      </w:pPr>
      <w:r>
        <w:rPr>
          <w:rFonts w:hint="eastAsia"/>
        </w:rPr>
        <w:t>6、</w:t>
      </w:r>
      <w:r>
        <w:rPr>
          <w:rFonts w:hint="eastAsia"/>
          <w:color w:val="00B0F0"/>
        </w:rPr>
        <w:t xml:space="preserve"> 初级常用的损益类科目：</w:t>
      </w:r>
    </w:p>
    <w:p>
      <w:pPr>
        <w:rPr>
          <w:rFonts w:hint="eastAsia"/>
        </w:rPr>
      </w:pPr>
    </w:p>
    <w:p>
      <w:pPr>
        <w:rPr>
          <w:rFonts w:hint="eastAsia"/>
        </w:rPr>
      </w:pPr>
      <w:r>
        <w:rPr>
          <w:rFonts w:hint="eastAsia"/>
          <w:color w:val="B2A1C7" w:themeColor="accent4" w:themeTint="99"/>
          <w14:textFill>
            <w14:gradFill>
              <w14:gsLst>
                <w14:gs w14:pos="0">
                  <w14:srgbClr w14:val="14CD68"/>
                </w14:gs>
                <w14:gs w14:pos="100000">
                  <w14:srgbClr w14:val="0B6E38"/>
                </w14:gs>
              </w14:gsLst>
              <w14:lin w14:scaled="0"/>
            </w14:gradFill>
          </w14:textFill>
        </w:rPr>
        <w:t>①收入类：</w:t>
      </w:r>
      <w:r>
        <w:rPr>
          <w:rFonts w:hint="eastAsia"/>
        </w:rPr>
        <w:t xml:space="preserve"> </w:t>
      </w:r>
      <w:r>
        <w:rPr>
          <w:rFonts w:hint="eastAsia"/>
          <w:color w:val="00B0F0"/>
        </w:rPr>
        <w:t>主营业务收入、其他业务收入、投资收益、公允价值变动损益。</w:t>
      </w:r>
    </w:p>
    <w:p>
      <w:pPr>
        <w:rPr>
          <w:rFonts w:hint="eastAsia"/>
        </w:rPr>
      </w:pPr>
    </w:p>
    <w:p>
      <w:pPr>
        <w:rPr>
          <w:rFonts w:hint="eastAsia"/>
          <w:color w:val="00B0F0"/>
        </w:rPr>
      </w:pPr>
      <w:r>
        <w:rPr>
          <w:rFonts w:hint="eastAsia"/>
          <w14:textFill>
            <w14:gradFill>
              <w14:gsLst>
                <w14:gs w14:pos="0">
                  <w14:srgbClr w14:val="14CD68"/>
                </w14:gs>
                <w14:gs w14:pos="100000">
                  <w14:srgbClr w14:val="0B6E38"/>
                </w14:gs>
              </w14:gsLst>
              <w14:lin w14:scaled="0"/>
            </w14:gradFill>
          </w14:textFill>
        </w:rPr>
        <w:t>②费用类：</w:t>
      </w:r>
      <w:r>
        <w:rPr>
          <w:rFonts w:hint="eastAsia"/>
        </w:rPr>
        <w:t xml:space="preserve"> </w:t>
      </w:r>
      <w:r>
        <w:rPr>
          <w:rFonts w:hint="eastAsia"/>
          <w:color w:val="00B0F0"/>
        </w:rPr>
        <w:t>主营业务成本、其他业务成本、信用减值损失、资产减值损失、税金及附加、销售费用、管理费用、财务费用、所得税费用。</w:t>
      </w:r>
    </w:p>
    <w:p>
      <w:pPr>
        <w:rPr>
          <w:rFonts w:hint="eastAsia"/>
        </w:rPr>
      </w:pPr>
    </w:p>
    <w:p>
      <w:pPr>
        <w:rPr>
          <w:rFonts w:hint="eastAsia"/>
        </w:rPr>
      </w:pPr>
      <w:r>
        <w:rPr>
          <w:rFonts w:hint="eastAsia"/>
          <w:color w:val="00B050"/>
        </w:rPr>
        <w:t>③直接计入当期利润（损益）的利得：</w:t>
      </w:r>
      <w:r>
        <w:rPr>
          <w:rFonts w:hint="eastAsia"/>
        </w:rPr>
        <w:t xml:space="preserve"> </w:t>
      </w:r>
      <w:r>
        <w:rPr>
          <w:rFonts w:hint="eastAsia"/>
          <w:color w:val="00B0F0"/>
        </w:rPr>
        <w:t xml:space="preserve"> 营业外收入。</w:t>
      </w:r>
    </w:p>
    <w:p>
      <w:pPr>
        <w:rPr>
          <w:rFonts w:hint="eastAsia"/>
          <w:color w:val="00B0F0"/>
        </w:rPr>
      </w:pPr>
      <w:r>
        <w:rPr>
          <w:rFonts w:hint="eastAsia"/>
          <w:color w:val="00B050"/>
        </w:rPr>
        <w:t>④直接计入当期利润（损益）的损失：</w:t>
      </w:r>
      <w:r>
        <w:rPr>
          <w:rFonts w:hint="eastAsia"/>
        </w:rPr>
        <w:t xml:space="preserve">  </w:t>
      </w:r>
      <w:r>
        <w:rPr>
          <w:rFonts w:hint="eastAsia"/>
          <w:color w:val="00B0F0"/>
        </w:rPr>
        <w:t>营业外支出。</w:t>
      </w:r>
    </w:p>
    <w:p>
      <w:pPr>
        <w:rPr>
          <w:rFonts w:hint="eastAsia"/>
        </w:rPr>
      </w:pPr>
    </w:p>
    <w:p>
      <w:pPr>
        <w:rPr>
          <w:rFonts w:hint="eastAsia"/>
        </w:rPr>
      </w:pPr>
      <w:r>
        <w:rPr>
          <w:rFonts w:hint="eastAsia"/>
        </w:rPr>
        <w:t>7、 应付股利包括哪些内容？</w:t>
      </w:r>
    </w:p>
    <w:p>
      <w:pPr>
        <w:rPr>
          <w:rFonts w:hint="eastAsia"/>
        </w:rPr>
      </w:pPr>
    </w:p>
    <w:p>
      <w:pPr>
        <w:rPr>
          <w:rFonts w:hint="eastAsia"/>
        </w:rPr>
      </w:pPr>
      <w:r>
        <w:rPr>
          <w:rFonts w:hint="eastAsia"/>
        </w:rPr>
        <w:t>应付股利是指企业根据</w:t>
      </w:r>
      <w:r>
        <w:rPr>
          <w:rFonts w:hint="eastAsia"/>
          <w:color w:val="FF0000"/>
        </w:rPr>
        <w:t>股东大会或类似机构</w:t>
      </w:r>
      <w:r>
        <w:rPr>
          <w:rFonts w:hint="eastAsia"/>
        </w:rPr>
        <w:t>审议批准的利润分配方案确定分配给投资者的现金股利或利润。</w:t>
      </w:r>
    </w:p>
    <w:p>
      <w:pPr>
        <w:rPr>
          <w:rFonts w:hint="eastAsia"/>
        </w:rPr>
      </w:pPr>
    </w:p>
    <w:p>
      <w:pPr>
        <w:rPr>
          <w:rFonts w:hint="eastAsia"/>
        </w:rPr>
      </w:pPr>
      <w:r>
        <w:rPr>
          <w:rFonts w:hint="eastAsia"/>
        </w:rPr>
        <w:t>企业</w:t>
      </w:r>
      <w:r>
        <w:rPr>
          <w:rFonts w:hint="eastAsia"/>
          <w:color w:val="FF0000"/>
        </w:rPr>
        <w:t>董事会或类似机构</w:t>
      </w:r>
      <w:r>
        <w:rPr>
          <w:rFonts w:hint="eastAsia"/>
        </w:rPr>
        <w:t>通过的利润分配方案中拟分配的现金股利或利润，不作账务处理，但应在附注中披露。</w:t>
      </w:r>
    </w:p>
    <w:p>
      <w:pPr>
        <w:rPr>
          <w:rFonts w:hint="eastAsia"/>
        </w:rPr>
      </w:pPr>
    </w:p>
    <w:p>
      <w:pPr>
        <w:rPr>
          <w:rFonts w:hint="eastAsia"/>
        </w:rPr>
      </w:pPr>
      <w:r>
        <w:rPr>
          <w:rFonts w:hint="eastAsia"/>
        </w:rPr>
        <w:t>企业分配的股票股利</w:t>
      </w:r>
      <w:r>
        <w:rPr>
          <w:rFonts w:hint="eastAsia"/>
          <w:color w:val="FF0000"/>
        </w:rPr>
        <w:t>不通过“应付股利”</w:t>
      </w:r>
      <w:r>
        <w:rPr>
          <w:rFonts w:hint="eastAsia"/>
        </w:rPr>
        <w:t>科目核算。</w:t>
      </w:r>
    </w:p>
    <w:p>
      <w:pPr>
        <w:rPr>
          <w:rFonts w:hint="eastAsia"/>
        </w:rPr>
      </w:pPr>
    </w:p>
    <w:p>
      <w:pPr>
        <w:numPr>
          <w:ilvl w:val="0"/>
          <w:numId w:val="5"/>
        </w:numPr>
        <w:rPr>
          <w:rFonts w:hint="eastAsia"/>
        </w:rPr>
      </w:pPr>
      <w:r>
        <w:rPr>
          <w:rFonts w:hint="eastAsia"/>
        </w:rPr>
        <w:t>应付债券</w:t>
      </w:r>
    </w:p>
    <w:p>
      <w:pPr>
        <w:numPr>
          <w:ilvl w:val="0"/>
          <w:numId w:val="0"/>
        </w:numPr>
        <w:rPr>
          <w:rFonts w:hint="eastAsia"/>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4"/>
        <w:gridCol w:w="3390"/>
        <w:gridCol w:w="3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4" w:type="dxa"/>
            <w:vAlign w:val="center"/>
          </w:tcPr>
          <w:p>
            <w:pPr>
              <w:widowControl w:val="0"/>
              <w:numPr>
                <w:ilvl w:val="0"/>
                <w:numId w:val="0"/>
              </w:numPr>
              <w:jc w:val="center"/>
              <w:rPr>
                <w:rFonts w:hint="eastAsia" w:eastAsiaTheme="minorEastAsia"/>
                <w:vertAlign w:val="baseline"/>
                <w:lang w:eastAsia="zh-CN"/>
              </w:rPr>
            </w:pPr>
            <w:r>
              <w:rPr>
                <w:rFonts w:hint="eastAsia"/>
                <w:vertAlign w:val="baseline"/>
                <w:lang w:eastAsia="zh-CN"/>
              </w:rPr>
              <w:t>项目</w:t>
            </w:r>
          </w:p>
        </w:tc>
        <w:tc>
          <w:tcPr>
            <w:tcW w:w="6548" w:type="dxa"/>
            <w:gridSpan w:val="2"/>
            <w:vAlign w:val="center"/>
          </w:tcPr>
          <w:p>
            <w:pPr>
              <w:widowControl w:val="0"/>
              <w:numPr>
                <w:ilvl w:val="0"/>
                <w:numId w:val="0"/>
              </w:numPr>
              <w:jc w:val="center"/>
              <w:rPr>
                <w:rFonts w:hint="eastAsia" w:eastAsiaTheme="minorEastAsia"/>
                <w:vertAlign w:val="baseline"/>
                <w:lang w:eastAsia="zh-CN"/>
              </w:rPr>
            </w:pPr>
            <w:r>
              <w:rPr>
                <w:rFonts w:hint="eastAsia"/>
                <w:vertAlign w:val="baseline"/>
                <w:lang w:eastAsia="zh-CN"/>
              </w:rPr>
              <w:t>账务处理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4" w:type="dxa"/>
            <w:vAlign w:val="center"/>
          </w:tcPr>
          <w:p>
            <w:pPr>
              <w:widowControl w:val="0"/>
              <w:numPr>
                <w:ilvl w:val="0"/>
                <w:numId w:val="0"/>
              </w:numPr>
              <w:jc w:val="center"/>
              <w:rPr>
                <w:rFonts w:hint="eastAsia" w:eastAsiaTheme="minorEastAsia"/>
                <w:vertAlign w:val="baseline"/>
                <w:lang w:eastAsia="zh-CN"/>
              </w:rPr>
            </w:pPr>
            <w:r>
              <w:rPr>
                <w:rFonts w:hint="eastAsia"/>
                <w:vertAlign w:val="baseline"/>
                <w:lang w:eastAsia="zh-CN"/>
              </w:rPr>
              <w:t>按面值发行</w:t>
            </w:r>
          </w:p>
        </w:tc>
        <w:tc>
          <w:tcPr>
            <w:tcW w:w="6548" w:type="dxa"/>
            <w:gridSpan w:val="2"/>
            <w:vAlign w:val="center"/>
          </w:tcPr>
          <w:p>
            <w:pPr>
              <w:widowControl w:val="0"/>
              <w:numPr>
                <w:ilvl w:val="0"/>
                <w:numId w:val="0"/>
              </w:numPr>
              <w:jc w:val="both"/>
              <w:rPr>
                <w:rFonts w:hint="eastAsia"/>
                <w:vertAlign w:val="baseline"/>
                <w:lang w:eastAsia="zh-CN"/>
              </w:rPr>
            </w:pPr>
            <w:r>
              <w:rPr>
                <w:rFonts w:hint="eastAsia"/>
                <w:vertAlign w:val="baseline"/>
                <w:lang w:eastAsia="zh-CN"/>
              </w:rPr>
              <w:t>借：银行存款</w:t>
            </w:r>
          </w:p>
          <w:p>
            <w:pPr>
              <w:widowControl w:val="0"/>
              <w:numPr>
                <w:ilvl w:val="0"/>
                <w:numId w:val="0"/>
              </w:numPr>
              <w:jc w:val="both"/>
              <w:rPr>
                <w:rFonts w:hint="default"/>
                <w:vertAlign w:val="baseline"/>
                <w:lang w:val="en-US" w:eastAsia="zh-CN"/>
              </w:rPr>
            </w:pPr>
            <w:r>
              <w:rPr>
                <w:rFonts w:hint="eastAsia"/>
                <w:vertAlign w:val="baseline"/>
                <w:lang w:val="en-US" w:eastAsia="zh-CN"/>
              </w:rPr>
              <w:t xml:space="preserve">    贷：应付债券——面值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4" w:type="dxa"/>
            <w:vAlign w:val="center"/>
          </w:tcPr>
          <w:p>
            <w:pPr>
              <w:widowControl w:val="0"/>
              <w:numPr>
                <w:ilvl w:val="0"/>
                <w:numId w:val="0"/>
              </w:numPr>
              <w:jc w:val="center"/>
              <w:rPr>
                <w:rFonts w:hint="eastAsia" w:eastAsiaTheme="minorEastAsia"/>
                <w:vertAlign w:val="baseline"/>
                <w:lang w:eastAsia="zh-CN"/>
              </w:rPr>
            </w:pPr>
            <w:r>
              <w:rPr>
                <w:rFonts w:hint="eastAsia"/>
                <w:vertAlign w:val="baseline"/>
                <w:lang w:eastAsia="zh-CN"/>
              </w:rPr>
              <w:t>计提利息</w:t>
            </w:r>
          </w:p>
        </w:tc>
        <w:tc>
          <w:tcPr>
            <w:tcW w:w="3390" w:type="dxa"/>
            <w:vAlign w:val="center"/>
          </w:tcPr>
          <w:p>
            <w:pPr>
              <w:widowControl w:val="0"/>
              <w:numPr>
                <w:ilvl w:val="0"/>
                <w:numId w:val="0"/>
              </w:numPr>
              <w:jc w:val="both"/>
              <w:rPr>
                <w:rFonts w:hint="eastAsia"/>
                <w:vertAlign w:val="baseline"/>
                <w:lang w:eastAsia="zh-CN"/>
              </w:rPr>
            </w:pPr>
            <w:r>
              <w:rPr>
                <w:rFonts w:hint="eastAsia"/>
                <w:vertAlign w:val="baseline"/>
                <w:lang w:eastAsia="zh-CN"/>
              </w:rPr>
              <w:t>分期付息</w:t>
            </w:r>
          </w:p>
          <w:p>
            <w:pPr>
              <w:widowControl w:val="0"/>
              <w:numPr>
                <w:ilvl w:val="0"/>
                <w:numId w:val="0"/>
              </w:numPr>
              <w:jc w:val="both"/>
              <w:rPr>
                <w:rFonts w:hint="eastAsia"/>
                <w:vertAlign w:val="baseline"/>
                <w:lang w:eastAsia="zh-CN"/>
              </w:rPr>
            </w:pPr>
            <w:r>
              <w:rPr>
                <w:rFonts w:hint="eastAsia"/>
                <w:vertAlign w:val="baseline"/>
                <w:lang w:eastAsia="zh-CN"/>
              </w:rPr>
              <w:t>借：在建工程、财务费用等</w:t>
            </w:r>
          </w:p>
          <w:p>
            <w:pPr>
              <w:widowControl w:val="0"/>
              <w:numPr>
                <w:ilvl w:val="0"/>
                <w:numId w:val="0"/>
              </w:numPr>
              <w:jc w:val="both"/>
              <w:rPr>
                <w:rFonts w:hint="default"/>
                <w:vertAlign w:val="baseline"/>
                <w:lang w:val="en-US" w:eastAsia="zh-CN"/>
              </w:rPr>
            </w:pPr>
            <w:r>
              <w:rPr>
                <w:rFonts w:hint="eastAsia"/>
                <w:vertAlign w:val="baseline"/>
                <w:lang w:val="en-US" w:eastAsia="zh-CN"/>
              </w:rPr>
              <w:t xml:space="preserve">    贷：应付利息（分期付息）</w:t>
            </w:r>
          </w:p>
        </w:tc>
        <w:tc>
          <w:tcPr>
            <w:tcW w:w="3158" w:type="dxa"/>
            <w:vAlign w:val="center"/>
          </w:tcPr>
          <w:p>
            <w:pPr>
              <w:widowControl w:val="0"/>
              <w:numPr>
                <w:ilvl w:val="0"/>
                <w:numId w:val="0"/>
              </w:numPr>
              <w:jc w:val="both"/>
              <w:rPr>
                <w:rFonts w:hint="eastAsia"/>
                <w:vertAlign w:val="baseline"/>
                <w:lang w:eastAsia="zh-CN"/>
              </w:rPr>
            </w:pPr>
            <w:r>
              <w:rPr>
                <w:rFonts w:hint="eastAsia"/>
                <w:vertAlign w:val="baseline"/>
                <w:lang w:eastAsia="zh-CN"/>
              </w:rPr>
              <w:t>一次还本付息</w:t>
            </w:r>
          </w:p>
          <w:p>
            <w:pPr>
              <w:widowControl w:val="0"/>
              <w:numPr>
                <w:ilvl w:val="0"/>
                <w:numId w:val="0"/>
              </w:numPr>
              <w:jc w:val="both"/>
              <w:rPr>
                <w:rFonts w:hint="eastAsia"/>
                <w:vertAlign w:val="baseline"/>
                <w:lang w:eastAsia="zh-CN"/>
              </w:rPr>
            </w:pPr>
            <w:r>
              <w:rPr>
                <w:rFonts w:hint="eastAsia"/>
                <w:vertAlign w:val="baseline"/>
                <w:lang w:eastAsia="zh-CN"/>
              </w:rPr>
              <w:t>借：在建工程、财务费用等</w:t>
            </w:r>
          </w:p>
          <w:p>
            <w:pPr>
              <w:widowControl w:val="0"/>
              <w:numPr>
                <w:ilvl w:val="0"/>
                <w:numId w:val="0"/>
              </w:numPr>
              <w:jc w:val="both"/>
              <w:rPr>
                <w:rFonts w:hint="default"/>
                <w:vertAlign w:val="baseline"/>
                <w:lang w:val="en-US" w:eastAsia="zh-CN"/>
              </w:rPr>
            </w:pPr>
            <w:r>
              <w:rPr>
                <w:rFonts w:hint="eastAsia"/>
                <w:vertAlign w:val="baseline"/>
                <w:lang w:val="en-US" w:eastAsia="zh-CN"/>
              </w:rPr>
              <w:t xml:space="preserve">    贷：应付债券——应计利息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4" w:type="dxa"/>
            <w:vAlign w:val="center"/>
          </w:tcPr>
          <w:p>
            <w:pPr>
              <w:widowControl w:val="0"/>
              <w:numPr>
                <w:ilvl w:val="0"/>
                <w:numId w:val="0"/>
              </w:numPr>
              <w:jc w:val="center"/>
              <w:rPr>
                <w:rFonts w:hint="eastAsia" w:eastAsiaTheme="minorEastAsia"/>
                <w:vertAlign w:val="baseline"/>
                <w:lang w:eastAsia="zh-CN"/>
              </w:rPr>
            </w:pPr>
            <w:r>
              <w:rPr>
                <w:rFonts w:hint="eastAsia"/>
                <w:vertAlign w:val="baseline"/>
                <w:lang w:eastAsia="zh-CN"/>
              </w:rPr>
              <w:t>到期</w:t>
            </w:r>
          </w:p>
        </w:tc>
        <w:tc>
          <w:tcPr>
            <w:tcW w:w="3390" w:type="dxa"/>
            <w:vAlign w:val="center"/>
          </w:tcPr>
          <w:p>
            <w:pPr>
              <w:widowControl w:val="0"/>
              <w:numPr>
                <w:ilvl w:val="0"/>
                <w:numId w:val="0"/>
              </w:numPr>
              <w:jc w:val="both"/>
              <w:rPr>
                <w:rFonts w:hint="eastAsia"/>
                <w:vertAlign w:val="baseline"/>
                <w:lang w:eastAsia="zh-CN"/>
              </w:rPr>
            </w:pPr>
            <w:r>
              <w:rPr>
                <w:rFonts w:hint="eastAsia"/>
                <w:vertAlign w:val="baseline"/>
                <w:lang w:eastAsia="zh-CN"/>
              </w:rPr>
              <w:t>借：应付债券——面值</w:t>
            </w:r>
          </w:p>
          <w:p>
            <w:pPr>
              <w:widowControl w:val="0"/>
              <w:numPr>
                <w:ilvl w:val="0"/>
                <w:numId w:val="0"/>
              </w:numPr>
              <w:jc w:val="both"/>
              <w:rPr>
                <w:rFonts w:hint="default"/>
                <w:vertAlign w:val="baseline"/>
                <w:lang w:val="en-US" w:eastAsia="zh-CN"/>
              </w:rPr>
            </w:pPr>
            <w:r>
              <w:rPr>
                <w:rFonts w:hint="eastAsia"/>
                <w:vertAlign w:val="baseline"/>
                <w:lang w:val="en-US" w:eastAsia="zh-CN"/>
              </w:rPr>
              <w:t xml:space="preserve">    贷：银行存款</w:t>
            </w:r>
          </w:p>
        </w:tc>
        <w:tc>
          <w:tcPr>
            <w:tcW w:w="3158" w:type="dxa"/>
            <w:vAlign w:val="center"/>
          </w:tcPr>
          <w:p>
            <w:pPr>
              <w:widowControl w:val="0"/>
              <w:numPr>
                <w:ilvl w:val="0"/>
                <w:numId w:val="0"/>
              </w:numPr>
              <w:jc w:val="both"/>
              <w:rPr>
                <w:rFonts w:hint="eastAsia"/>
                <w:vertAlign w:val="baseline"/>
                <w:lang w:eastAsia="zh-CN"/>
              </w:rPr>
            </w:pPr>
            <w:r>
              <w:rPr>
                <w:rFonts w:hint="eastAsia"/>
                <w:vertAlign w:val="baseline"/>
                <w:lang w:eastAsia="zh-CN"/>
              </w:rPr>
              <w:t>借：应付债券——面值</w:t>
            </w:r>
          </w:p>
          <w:p>
            <w:pPr>
              <w:widowControl w:val="0"/>
              <w:numPr>
                <w:ilvl w:val="0"/>
                <w:numId w:val="0"/>
              </w:numPr>
              <w:jc w:val="both"/>
              <w:rPr>
                <w:rFonts w:hint="eastAsia"/>
                <w:vertAlign w:val="baseline"/>
                <w:lang w:val="en-US" w:eastAsia="zh-CN"/>
              </w:rPr>
            </w:pPr>
            <w:r>
              <w:rPr>
                <w:rFonts w:hint="eastAsia"/>
                <w:vertAlign w:val="baseline"/>
                <w:lang w:val="en-US" w:eastAsia="zh-CN"/>
              </w:rPr>
              <w:t xml:space="preserve">            ——应计利息</w:t>
            </w:r>
          </w:p>
          <w:p>
            <w:pPr>
              <w:widowControl w:val="0"/>
              <w:numPr>
                <w:ilvl w:val="0"/>
                <w:numId w:val="0"/>
              </w:numPr>
              <w:jc w:val="both"/>
              <w:rPr>
                <w:rFonts w:hint="default"/>
                <w:vertAlign w:val="baseline"/>
                <w:lang w:val="en-US" w:eastAsia="zh-CN"/>
              </w:rPr>
            </w:pPr>
            <w:r>
              <w:rPr>
                <w:rFonts w:hint="eastAsia"/>
                <w:vertAlign w:val="baseline"/>
                <w:lang w:val="en-US" w:eastAsia="zh-CN"/>
              </w:rPr>
              <w:t xml:space="preserve">    贷：银行存款</w:t>
            </w:r>
          </w:p>
        </w:tc>
      </w:tr>
    </w:tbl>
    <w:p>
      <w:pPr>
        <w:numPr>
          <w:ilvl w:val="0"/>
          <w:numId w:val="0"/>
        </w:numPr>
        <w:rPr>
          <w:rFonts w:hint="eastAsia"/>
        </w:rPr>
      </w:pPr>
    </w:p>
    <w:p>
      <w:pPr>
        <w:numPr>
          <w:ilvl w:val="0"/>
          <w:numId w:val="0"/>
        </w:numPr>
        <w:rPr>
          <w:rFonts w:hint="eastAsia"/>
        </w:rPr>
      </w:pPr>
    </w:p>
    <w:p>
      <w:pPr>
        <w:numPr>
          <w:ilvl w:val="0"/>
          <w:numId w:val="0"/>
        </w:numPr>
        <w:jc w:val="center"/>
        <w:rPr>
          <w:rFonts w:hint="eastAsia"/>
          <w:sz w:val="24"/>
          <w:szCs w:val="32"/>
        </w:rPr>
      </w:pPr>
      <w:r>
        <w:rPr>
          <w:rFonts w:hint="eastAsia"/>
          <w:sz w:val="24"/>
          <w:szCs w:val="32"/>
        </w:rPr>
        <w:t>第六章 所有者权益</w:t>
      </w:r>
    </w:p>
    <w:p>
      <w:pPr>
        <w:numPr>
          <w:ilvl w:val="0"/>
          <w:numId w:val="0"/>
        </w:numPr>
        <w:rPr>
          <w:rFonts w:hint="eastAsia"/>
        </w:rPr>
      </w:pPr>
    </w:p>
    <w:p>
      <w:pPr>
        <w:numPr>
          <w:ilvl w:val="0"/>
          <w:numId w:val="0"/>
        </w:numPr>
        <w:rPr>
          <w:rFonts w:hint="eastAsia"/>
        </w:rPr>
      </w:pPr>
      <w:r>
        <w:rPr>
          <w:rFonts w:hint="eastAsia"/>
        </w:rPr>
        <w:t>1、 企业接受投资者投入资产的金额超过投资者在企业注册资本中所占份额的部分，如何核</w:t>
      </w:r>
    </w:p>
    <w:p>
      <w:pPr>
        <w:numPr>
          <w:ilvl w:val="0"/>
          <w:numId w:val="0"/>
        </w:numPr>
        <w:rPr>
          <w:rFonts w:hint="eastAsia"/>
        </w:rPr>
      </w:pPr>
      <w:r>
        <w:rPr>
          <w:rFonts w:hint="eastAsia"/>
        </w:rPr>
        <w:t>算？</w:t>
      </w:r>
    </w:p>
    <w:p>
      <w:pPr>
        <w:numPr>
          <w:ilvl w:val="0"/>
          <w:numId w:val="0"/>
        </w:numPr>
        <w:rPr>
          <w:rFonts w:hint="eastAsia"/>
        </w:rPr>
      </w:pPr>
      <w:r>
        <w:rPr>
          <w:rFonts w:hint="eastAsia"/>
        </w:rPr>
        <w:t>通过“资本公积——资本溢价（股本溢价）  ”科目核算。</w:t>
      </w:r>
    </w:p>
    <w:p>
      <w:pPr>
        <w:numPr>
          <w:ilvl w:val="0"/>
          <w:numId w:val="0"/>
        </w:numPr>
        <w:rPr>
          <w:rFonts w:hint="eastAsia"/>
        </w:rPr>
      </w:pPr>
    </w:p>
    <w:p>
      <w:pPr>
        <w:numPr>
          <w:ilvl w:val="0"/>
          <w:numId w:val="0"/>
        </w:numPr>
        <w:rPr>
          <w:rFonts w:hint="eastAsia"/>
        </w:rPr>
      </w:pPr>
      <w:r>
        <w:rPr>
          <w:rFonts w:hint="eastAsia"/>
        </w:rPr>
        <w:t>2、 股票发行费用的会计核算：</w:t>
      </w:r>
    </w:p>
    <w:p>
      <w:pPr>
        <w:numPr>
          <w:ilvl w:val="0"/>
          <w:numId w:val="0"/>
        </w:numPr>
        <w:rPr>
          <w:rFonts w:hint="eastAsia"/>
        </w:rPr>
      </w:pPr>
      <w:r>
        <w:rPr>
          <w:rFonts w:hint="eastAsia"/>
        </w:rPr>
        <w:t>股份有限公司发行股票发生的</w:t>
      </w:r>
      <w:r>
        <w:rPr>
          <w:rFonts w:hint="eastAsia"/>
          <w:color w:val="FF0000"/>
        </w:rPr>
        <w:t>手续费、佣金等交易费用</w:t>
      </w:r>
      <w:r>
        <w:rPr>
          <w:rFonts w:hint="eastAsia"/>
        </w:rPr>
        <w:t xml:space="preserve">，如果溢价发行股票的，应从溢价中抵扣， </w:t>
      </w:r>
      <w:r>
        <w:rPr>
          <w:rFonts w:hint="eastAsia"/>
          <w:color w:val="FF0000"/>
        </w:rPr>
        <w:t>冲减资本公积（股本溢价）</w:t>
      </w:r>
      <w:r>
        <w:rPr>
          <w:rFonts w:hint="eastAsia"/>
        </w:rPr>
        <w:t>；无溢价发行股票或溢价金额</w:t>
      </w:r>
      <w:r>
        <w:rPr>
          <w:rFonts w:hint="eastAsia"/>
          <w:color w:val="FF0000"/>
        </w:rPr>
        <w:t>不足以抵扣</w:t>
      </w:r>
      <w:r>
        <w:rPr>
          <w:rFonts w:hint="eastAsia"/>
        </w:rPr>
        <w:t>的，应将不足抵扣的部分</w:t>
      </w:r>
      <w:r>
        <w:rPr>
          <w:rFonts w:hint="eastAsia"/>
          <w:color w:val="FF0000"/>
        </w:rPr>
        <w:t>依次冲减盈余公积和未分配利润</w:t>
      </w:r>
      <w:r>
        <w:rPr>
          <w:rFonts w:hint="eastAsia"/>
        </w:rPr>
        <w:t>。</w:t>
      </w:r>
    </w:p>
    <w:p>
      <w:pPr>
        <w:numPr>
          <w:ilvl w:val="0"/>
          <w:numId w:val="0"/>
        </w:numPr>
        <w:rPr>
          <w:rFonts w:hint="eastAsia"/>
        </w:rPr>
      </w:pPr>
    </w:p>
    <w:p>
      <w:pPr>
        <w:numPr>
          <w:ilvl w:val="0"/>
          <w:numId w:val="0"/>
        </w:numPr>
        <w:rPr>
          <w:rFonts w:hint="eastAsia"/>
        </w:rPr>
      </w:pPr>
      <w:r>
        <w:rPr>
          <w:rFonts w:hint="eastAsia"/>
        </w:rPr>
        <w:t>3、 计提盈余公积的基数：</w:t>
      </w:r>
    </w:p>
    <w:p>
      <w:pPr>
        <w:numPr>
          <w:ilvl w:val="0"/>
          <w:numId w:val="0"/>
        </w:numPr>
        <w:rPr>
          <w:rFonts w:hint="eastAsia"/>
        </w:rPr>
      </w:pPr>
    </w:p>
    <w:p>
      <w:pPr>
        <w:numPr>
          <w:ilvl w:val="0"/>
          <w:numId w:val="0"/>
        </w:numPr>
        <w:rPr>
          <w:rFonts w:hint="eastAsia"/>
        </w:rPr>
      </w:pPr>
      <w:r>
        <w:rPr>
          <w:rFonts w:hint="eastAsia"/>
        </w:rPr>
        <w:t>如果年初未分配利润有</w:t>
      </w:r>
      <w:r>
        <w:rPr>
          <w:rFonts w:hint="eastAsia"/>
          <w:color w:val="00B050"/>
        </w:rPr>
        <w:t>盈余</w:t>
      </w:r>
      <w:r>
        <w:rPr>
          <w:rFonts w:hint="eastAsia"/>
        </w:rPr>
        <w:t xml:space="preserve">，计算提取法定盈余公积的基数时，  </w:t>
      </w:r>
      <w:r>
        <w:rPr>
          <w:rFonts w:hint="eastAsia"/>
          <w:color w:val="00B050"/>
        </w:rPr>
        <w:t>不应包括年初未分配利润</w:t>
      </w:r>
      <w:r>
        <w:rPr>
          <w:rFonts w:hint="eastAsia"/>
        </w:rPr>
        <w:t>；</w:t>
      </w:r>
    </w:p>
    <w:p>
      <w:pPr>
        <w:numPr>
          <w:ilvl w:val="0"/>
          <w:numId w:val="0"/>
        </w:numPr>
        <w:rPr>
          <w:rFonts w:hint="eastAsia"/>
        </w:rPr>
      </w:pPr>
      <w:r>
        <w:rPr>
          <w:rFonts w:hint="eastAsia"/>
        </w:rPr>
        <w:t>如果年初未分配利润有</w:t>
      </w:r>
      <w:r>
        <w:rPr>
          <w:rFonts w:hint="eastAsia"/>
          <w:color w:val="00B050"/>
        </w:rPr>
        <w:t>亏损</w:t>
      </w:r>
      <w:r>
        <w:rPr>
          <w:rFonts w:hint="eastAsia"/>
        </w:rPr>
        <w:t>，</w:t>
      </w:r>
      <w:r>
        <w:rPr>
          <w:rFonts w:hint="eastAsia"/>
          <w:color w:val="00B050"/>
        </w:rPr>
        <w:t>应先弥补</w:t>
      </w:r>
      <w:r>
        <w:rPr>
          <w:rFonts w:hint="eastAsia"/>
        </w:rPr>
        <w:t>以前年度亏损</w:t>
      </w:r>
      <w:r>
        <w:rPr>
          <w:rFonts w:hint="eastAsia"/>
          <w:color w:val="00B050"/>
        </w:rPr>
        <w:t>再提取</w:t>
      </w:r>
      <w:r>
        <w:rPr>
          <w:rFonts w:hint="eastAsia"/>
        </w:rPr>
        <w:t>盈余公积。</w:t>
      </w:r>
    </w:p>
    <w:p>
      <w:pPr>
        <w:numPr>
          <w:ilvl w:val="0"/>
          <w:numId w:val="0"/>
        </w:numPr>
        <w:rPr>
          <w:rFonts w:hint="eastAsia"/>
        </w:rPr>
      </w:pPr>
    </w:p>
    <w:p>
      <w:pPr>
        <w:numPr>
          <w:ilvl w:val="0"/>
          <w:numId w:val="6"/>
        </w:numPr>
        <w:rPr>
          <w:rFonts w:hint="eastAsia"/>
        </w:rPr>
      </w:pPr>
      <w:r>
        <w:rPr>
          <w:rFonts w:hint="eastAsia"/>
        </w:rPr>
        <w:t>未分配利润账户余额的含义：</w:t>
      </w:r>
    </w:p>
    <w:p>
      <w:pPr>
        <w:numPr>
          <w:ilvl w:val="0"/>
          <w:numId w:val="0"/>
        </w:numPr>
        <w:rPr>
          <w:rFonts w:hint="eastAsia"/>
        </w:rPr>
      </w:pPr>
      <w:r>
        <w:rPr>
          <w:rFonts w:hint="eastAsia"/>
        </w:rPr>
        <w:t>（1）年度终了，企业应将“本年利润”及“利润分配”所属其他明细科目余额转入“利润分配——未分配利润”。</w:t>
      </w:r>
    </w:p>
    <w:p>
      <w:pPr>
        <w:numPr>
          <w:ilvl w:val="0"/>
          <w:numId w:val="0"/>
        </w:numPr>
        <w:rPr>
          <w:rFonts w:hint="eastAsia"/>
        </w:rPr>
      </w:pPr>
    </w:p>
    <w:p>
      <w:pPr>
        <w:numPr>
          <w:ilvl w:val="0"/>
          <w:numId w:val="0"/>
        </w:numPr>
        <w:rPr>
          <w:rFonts w:hint="eastAsia"/>
        </w:rPr>
      </w:pPr>
      <w:r>
        <w:rPr>
          <w:rFonts w:hint="eastAsia"/>
        </w:rPr>
        <w:t>（2）“利润分配——未分配利润” 明细科目的</w:t>
      </w:r>
      <w:r>
        <w:rPr>
          <w:rFonts w:hint="eastAsia"/>
          <w:color w:val="FF0000"/>
        </w:rPr>
        <w:t>余额在贷方</w:t>
      </w:r>
      <w:r>
        <w:rPr>
          <w:rFonts w:hint="eastAsia"/>
        </w:rPr>
        <w:t>，表示</w:t>
      </w:r>
      <w:r>
        <w:rPr>
          <w:rFonts w:hint="eastAsia"/>
          <w:color w:val="FF0000"/>
        </w:rPr>
        <w:t>累计未分配的利润；</w:t>
      </w:r>
      <w:r>
        <w:rPr>
          <w:rFonts w:hint="eastAsia"/>
        </w:rPr>
        <w:t>如果余额在</w:t>
      </w:r>
      <w:r>
        <w:rPr>
          <w:rFonts w:hint="eastAsia"/>
          <w:color w:val="FF0000"/>
        </w:rPr>
        <w:t>借方</w:t>
      </w:r>
      <w:r>
        <w:rPr>
          <w:rFonts w:hint="eastAsia"/>
        </w:rPr>
        <w:t>，则表示</w:t>
      </w:r>
      <w:r>
        <w:rPr>
          <w:rFonts w:hint="eastAsia"/>
          <w:color w:val="FF0000"/>
        </w:rPr>
        <w:t>累积未弥补的亏损</w:t>
      </w:r>
      <w:r>
        <w:rPr>
          <w:rFonts w:hint="eastAsia"/>
        </w:rPr>
        <w:t>。</w:t>
      </w:r>
    </w:p>
    <w:p>
      <w:pPr>
        <w:numPr>
          <w:ilvl w:val="0"/>
          <w:numId w:val="0"/>
        </w:numPr>
        <w:rPr>
          <w:rFonts w:hint="eastAsia"/>
        </w:rPr>
      </w:pPr>
    </w:p>
    <w:p>
      <w:pPr>
        <w:numPr>
          <w:ilvl w:val="0"/>
          <w:numId w:val="0"/>
        </w:numPr>
        <w:rPr>
          <w:rFonts w:hint="eastAsia"/>
        </w:rPr>
      </w:pPr>
      <w:r>
        <w:rPr>
          <w:rFonts w:hint="eastAsia"/>
        </w:rPr>
        <w:t>（3）“利润分配——未分配利润” 明细科目的余额就是资产负债表中的未分配利</w:t>
      </w:r>
    </w:p>
    <w:p>
      <w:pPr>
        <w:numPr>
          <w:ilvl w:val="0"/>
          <w:numId w:val="0"/>
        </w:numPr>
        <w:rPr>
          <w:rFonts w:hint="eastAsia"/>
        </w:rPr>
      </w:pPr>
      <w:r>
        <w:rPr>
          <w:rFonts w:hint="eastAsia"/>
        </w:rPr>
        <w:t>润的填写金额。</w:t>
      </w:r>
    </w:p>
    <w:p>
      <w:pPr>
        <w:numPr>
          <w:ilvl w:val="0"/>
          <w:numId w:val="0"/>
        </w:numPr>
        <w:rPr>
          <w:rFonts w:hint="eastAsia"/>
        </w:rPr>
      </w:pPr>
      <w:r>
        <w:rPr>
          <w:rFonts w:hint="eastAsia"/>
        </w:rPr>
        <w:t>5、亏损弥补的方式：</w:t>
      </w:r>
    </w:p>
    <w:p>
      <w:pPr>
        <w:numPr>
          <w:ilvl w:val="0"/>
          <w:numId w:val="0"/>
        </w:numPr>
        <w:rPr>
          <w:rFonts w:hint="eastAsia"/>
        </w:rPr>
      </w:pPr>
    </w:p>
    <w:p>
      <w:pPr>
        <w:numPr>
          <w:ilvl w:val="0"/>
          <w:numId w:val="0"/>
        </w:numPr>
        <w:rPr>
          <w:rFonts w:hint="eastAsia"/>
          <w:color w:val="00B0F0"/>
        </w:rPr>
      </w:pPr>
      <w:r>
        <w:rPr>
          <w:rFonts w:hint="eastAsia"/>
          <w:color w:val="00B0F0"/>
        </w:rPr>
        <w:t>（1）盈余公积弥补</w:t>
      </w:r>
    </w:p>
    <w:p>
      <w:pPr>
        <w:numPr>
          <w:ilvl w:val="0"/>
          <w:numId w:val="0"/>
        </w:numPr>
        <w:rPr>
          <w:rFonts w:hint="eastAsia"/>
          <w:color w:val="00B0F0"/>
        </w:rPr>
      </w:pPr>
      <w:r>
        <w:rPr>
          <w:rFonts w:hint="eastAsia"/>
          <w:color w:val="00B0F0"/>
        </w:rPr>
        <w:t>（2）税前利润弥补</w:t>
      </w:r>
    </w:p>
    <w:p>
      <w:pPr>
        <w:numPr>
          <w:ilvl w:val="0"/>
          <w:numId w:val="0"/>
        </w:numPr>
        <w:rPr>
          <w:rFonts w:hint="eastAsia"/>
          <w:color w:val="00B0F0"/>
        </w:rPr>
      </w:pPr>
      <w:r>
        <w:rPr>
          <w:rFonts w:hint="eastAsia"/>
          <w:color w:val="00B0F0"/>
        </w:rPr>
        <w:t>（3）税后利润弥补</w:t>
      </w:r>
    </w:p>
    <w:p>
      <w:pPr>
        <w:numPr>
          <w:ilvl w:val="0"/>
          <w:numId w:val="0"/>
        </w:numPr>
        <w:rPr>
          <w:rFonts w:hint="eastAsia"/>
        </w:rPr>
      </w:pPr>
    </w:p>
    <w:p>
      <w:pPr>
        <w:numPr>
          <w:ilvl w:val="0"/>
          <w:numId w:val="0"/>
        </w:numPr>
        <w:rPr>
          <w:rFonts w:hint="eastAsia"/>
          <w:color w:val="00B050"/>
        </w:rPr>
      </w:pPr>
      <w:r>
        <w:rPr>
          <w:rFonts w:hint="eastAsia"/>
        </w:rPr>
        <w:t xml:space="preserve">注意： </w:t>
      </w:r>
      <w:r>
        <w:rPr>
          <w:rFonts w:hint="eastAsia"/>
          <w:color w:val="00B050"/>
        </w:rPr>
        <w:t>本年利润补亏，属于自然弥补，无需作会计分录，因此不会引起所有者权益变化。</w:t>
      </w:r>
    </w:p>
    <w:p>
      <w:pPr>
        <w:numPr>
          <w:ilvl w:val="0"/>
          <w:numId w:val="0"/>
        </w:numPr>
        <w:rPr>
          <w:rFonts w:hint="eastAsia"/>
          <w:color w:val="00B050"/>
        </w:rPr>
      </w:pPr>
      <w:r>
        <w:rPr>
          <w:rFonts w:hint="eastAsia"/>
          <w:color w:val="00B050"/>
        </w:rPr>
        <w:t>弥补亏损的主要途径：</w:t>
      </w:r>
    </w:p>
    <w:p>
      <w:pPr>
        <w:numPr>
          <w:ilvl w:val="0"/>
          <w:numId w:val="0"/>
        </w:numPr>
        <w:rPr>
          <w:rFonts w:hint="eastAsia"/>
          <w:color w:val="00B050"/>
        </w:rPr>
      </w:pPr>
    </w:p>
    <w:p>
      <w:pPr>
        <w:numPr>
          <w:ilvl w:val="0"/>
          <w:numId w:val="0"/>
        </w:numPr>
        <w:rPr>
          <w:rFonts w:hint="eastAsia"/>
        </w:rPr>
      </w:pPr>
      <w:r>
        <w:rPr>
          <w:rFonts w:hint="eastAsia"/>
          <w:color w:val="00B050"/>
        </w:rPr>
        <w:t>一是用税后利润弥补以前年度亏损时</w:t>
      </w:r>
      <w:r>
        <w:rPr>
          <w:rFonts w:hint="eastAsia"/>
        </w:rPr>
        <w:t>，企业当年实现的利润从“本年利润”科目的借方转入</w:t>
      </w:r>
    </w:p>
    <w:p>
      <w:pPr>
        <w:numPr>
          <w:ilvl w:val="0"/>
          <w:numId w:val="0"/>
        </w:numPr>
        <w:rPr>
          <w:rFonts w:hint="eastAsia"/>
        </w:rPr>
      </w:pPr>
      <w:r>
        <w:rPr>
          <w:rFonts w:hint="eastAsia"/>
        </w:rPr>
        <w:t>“利润分配——未分配利润”科目的贷方，“利润分配——未分配利润”科目的贷方发生额与“利润分配——未分配利润”科目的借方余额自然抵补。不需要进行专门的账务处理。</w:t>
      </w:r>
    </w:p>
    <w:p>
      <w:pPr>
        <w:numPr>
          <w:ilvl w:val="0"/>
          <w:numId w:val="0"/>
        </w:numPr>
        <w:rPr>
          <w:rFonts w:hint="eastAsia"/>
        </w:rPr>
      </w:pPr>
    </w:p>
    <w:p>
      <w:pPr>
        <w:numPr>
          <w:ilvl w:val="0"/>
          <w:numId w:val="0"/>
        </w:numPr>
        <w:rPr>
          <w:rFonts w:hint="eastAsia"/>
        </w:rPr>
      </w:pPr>
      <w:r>
        <w:rPr>
          <w:rFonts w:hint="eastAsia"/>
          <w:color w:val="00B050"/>
        </w:rPr>
        <w:t>二是用税前利润弥补亏损时</w:t>
      </w:r>
      <w:r>
        <w:rPr>
          <w:rFonts w:hint="eastAsia"/>
        </w:rPr>
        <w:t>，“弥补以前年度亏损”是计算应纳税所得额时的一个调减项，对 于企业利润核算而言，用税前利润弥补亏损仅影响“所得税费用”的金额，并不影响企业的具体会计处理。因此亦无需进行专门的账务处理。</w:t>
      </w:r>
    </w:p>
    <w:p>
      <w:pPr>
        <w:numPr>
          <w:ilvl w:val="0"/>
          <w:numId w:val="0"/>
        </w:numPr>
        <w:rPr>
          <w:rFonts w:hint="eastAsia"/>
        </w:rPr>
      </w:pPr>
    </w:p>
    <w:p>
      <w:pPr>
        <w:numPr>
          <w:ilvl w:val="0"/>
          <w:numId w:val="0"/>
        </w:numPr>
        <w:rPr>
          <w:rFonts w:hint="eastAsia"/>
        </w:rPr>
      </w:pPr>
      <w:r>
        <w:rPr>
          <w:rFonts w:hint="eastAsia"/>
          <w:color w:val="00B050"/>
        </w:rPr>
        <w:t>三是用盈余公积弥补亏损</w:t>
      </w:r>
      <w:r>
        <w:rPr>
          <w:rFonts w:hint="eastAsia"/>
        </w:rPr>
        <w:t>，则需要作账务处理，借记“盈余公积”科目，贷记“利润分配——其他转入”科目。</w:t>
      </w:r>
    </w:p>
    <w:p>
      <w:pPr>
        <w:numPr>
          <w:ilvl w:val="0"/>
          <w:numId w:val="0"/>
        </w:numPr>
        <w:rPr>
          <w:rFonts w:hint="eastAsia"/>
        </w:rPr>
      </w:pPr>
    </w:p>
    <w:p>
      <w:pPr>
        <w:numPr>
          <w:ilvl w:val="0"/>
          <w:numId w:val="0"/>
        </w:numPr>
        <w:rPr>
          <w:rFonts w:hint="eastAsia"/>
        </w:rPr>
      </w:pPr>
      <w:r>
        <w:rPr>
          <w:rFonts w:hint="eastAsia"/>
        </w:rPr>
        <w:t>6、期末未分配利润和所有者权益的计算公式：</w:t>
      </w:r>
    </w:p>
    <w:p>
      <w:pPr>
        <w:numPr>
          <w:ilvl w:val="0"/>
          <w:numId w:val="0"/>
        </w:numPr>
        <w:rPr>
          <w:rFonts w:hint="eastAsia"/>
        </w:rPr>
      </w:pPr>
    </w:p>
    <w:p>
      <w:pPr>
        <w:numPr>
          <w:ilvl w:val="0"/>
          <w:numId w:val="0"/>
        </w:numPr>
        <w:rPr>
          <w:rFonts w:hint="eastAsia"/>
          <w:color w:val="FF0000"/>
        </w:rPr>
      </w:pPr>
      <w:r>
        <w:rPr>
          <w:rFonts w:hint="eastAsia"/>
        </w:rPr>
        <w:t>（1）</w:t>
      </w:r>
      <w:r>
        <w:rPr>
          <w:rFonts w:hint="eastAsia"/>
          <w:color w:val="FF0000"/>
        </w:rPr>
        <w:t>期末未分配的余额 =期初未分配利润余额+本年净利润（或-本年净亏损）  -提取的盈余公积+盈余公积补亏-宣告的现金股利-发放的股票股利</w:t>
      </w:r>
    </w:p>
    <w:p>
      <w:pPr>
        <w:numPr>
          <w:ilvl w:val="0"/>
          <w:numId w:val="0"/>
        </w:numPr>
        <w:rPr>
          <w:rFonts w:hint="eastAsia"/>
        </w:rPr>
      </w:pPr>
      <w:r>
        <w:rPr>
          <w:rFonts w:hint="eastAsia"/>
        </w:rPr>
        <w:t>（2）期末所有者权益的余额 =期初所有者权益余额+本年净利润（或-本年净亏损）  -宣告的现金股利+追加的投资额</w:t>
      </w:r>
    </w:p>
    <w:p>
      <w:pPr>
        <w:numPr>
          <w:ilvl w:val="0"/>
          <w:numId w:val="0"/>
        </w:numPr>
        <w:rPr>
          <w:rFonts w:hint="eastAsia"/>
        </w:rPr>
      </w:pPr>
    </w:p>
    <w:p>
      <w:pPr>
        <w:numPr>
          <w:ilvl w:val="0"/>
          <w:numId w:val="0"/>
        </w:numPr>
        <w:jc w:val="center"/>
        <w:rPr>
          <w:rFonts w:hint="eastAsia"/>
          <w:b/>
          <w:bCs/>
          <w:sz w:val="28"/>
          <w:szCs w:val="36"/>
        </w:rPr>
      </w:pPr>
      <w:bookmarkStart w:id="0" w:name="_GoBack"/>
      <w:r>
        <w:rPr>
          <w:rFonts w:hint="eastAsia"/>
          <w:b/>
          <w:bCs/>
          <w:sz w:val="28"/>
          <w:szCs w:val="36"/>
        </w:rPr>
        <w:t>第七章 收入、费用及利润</w:t>
      </w:r>
    </w:p>
    <w:bookmarkEnd w:id="0"/>
    <w:p>
      <w:pPr>
        <w:numPr>
          <w:ilvl w:val="0"/>
          <w:numId w:val="0"/>
        </w:numPr>
        <w:rPr>
          <w:rFonts w:hint="eastAsia"/>
        </w:rPr>
      </w:pPr>
    </w:p>
    <w:p>
      <w:pPr>
        <w:numPr>
          <w:ilvl w:val="0"/>
          <w:numId w:val="0"/>
        </w:numPr>
        <w:rPr>
          <w:rFonts w:hint="eastAsia"/>
        </w:rPr>
      </w:pPr>
      <w:r>
        <w:rPr>
          <w:rFonts w:hint="eastAsia"/>
        </w:rPr>
        <w:t>1、 其他业务收入的内容：</w:t>
      </w:r>
    </w:p>
    <w:p>
      <w:pPr>
        <w:numPr>
          <w:ilvl w:val="0"/>
          <w:numId w:val="0"/>
        </w:numPr>
        <w:rPr>
          <w:rFonts w:hint="eastAsia"/>
        </w:rPr>
      </w:pPr>
    </w:p>
    <w:p>
      <w:pPr>
        <w:numPr>
          <w:ilvl w:val="0"/>
          <w:numId w:val="0"/>
        </w:numPr>
        <w:rPr>
          <w:rFonts w:hint="eastAsia"/>
        </w:rPr>
      </w:pPr>
      <w:r>
        <w:rPr>
          <w:rFonts w:hint="eastAsia"/>
        </w:rPr>
        <w:t>销售材料、出租包装物和商品、出租固定资产、出租无形资产等实现的收入。</w:t>
      </w:r>
    </w:p>
    <w:p>
      <w:pPr>
        <w:numPr>
          <w:ilvl w:val="0"/>
          <w:numId w:val="0"/>
        </w:numPr>
        <w:rPr>
          <w:rFonts w:hint="eastAsia"/>
        </w:rPr>
      </w:pPr>
    </w:p>
    <w:p>
      <w:pPr>
        <w:numPr>
          <w:ilvl w:val="0"/>
          <w:numId w:val="0"/>
        </w:numPr>
        <w:rPr>
          <w:rFonts w:hint="eastAsia"/>
        </w:rPr>
      </w:pPr>
      <w:r>
        <w:rPr>
          <w:rFonts w:hint="eastAsia"/>
        </w:rPr>
        <w:t>2、 ①一般商品销售收入：企业一般商品销售属于在某一时点履行的履约义务。</w:t>
      </w:r>
    </w:p>
    <w:p>
      <w:pPr>
        <w:numPr>
          <w:ilvl w:val="0"/>
          <w:numId w:val="0"/>
        </w:numPr>
        <w:rPr>
          <w:rFonts w:hint="eastAsia"/>
        </w:rPr>
      </w:pPr>
    </w:p>
    <w:p>
      <w:pPr>
        <w:numPr>
          <w:ilvl w:val="0"/>
          <w:numId w:val="0"/>
        </w:numPr>
        <w:rPr>
          <w:rFonts w:hint="eastAsia"/>
        </w:rPr>
      </w:pPr>
      <w:r>
        <w:rPr>
          <w:rFonts w:hint="eastAsia"/>
        </w:rPr>
        <w:t>②现金结算方式销售业务：企业以现金结算方式对外销售商品，在客户取得相关</w:t>
      </w:r>
      <w:r>
        <w:rPr>
          <w:rFonts w:hint="eastAsia"/>
          <w:color w:val="FF0000"/>
        </w:rPr>
        <w:t>商品控制权</w:t>
      </w:r>
      <w:r>
        <w:rPr>
          <w:rFonts w:hint="eastAsia"/>
        </w:rPr>
        <w:t>时点确认收入。</w:t>
      </w:r>
    </w:p>
    <w:p>
      <w:pPr>
        <w:numPr>
          <w:ilvl w:val="0"/>
          <w:numId w:val="0"/>
        </w:numPr>
        <w:rPr>
          <w:rFonts w:hint="eastAsia"/>
        </w:rPr>
      </w:pPr>
    </w:p>
    <w:p>
      <w:pPr>
        <w:numPr>
          <w:ilvl w:val="0"/>
          <w:numId w:val="0"/>
        </w:numPr>
        <w:rPr>
          <w:rFonts w:hint="eastAsia"/>
        </w:rPr>
      </w:pPr>
      <w:r>
        <w:rPr>
          <w:rFonts w:hint="eastAsia"/>
        </w:rPr>
        <w:t>③委托收款结算方式销售业务：企业以委托收款结算方式对外销售商品，在其</w:t>
      </w:r>
      <w:r>
        <w:rPr>
          <w:rFonts w:hint="eastAsia"/>
          <w:color w:val="FF0000"/>
        </w:rPr>
        <w:t>办妥委托收款手续且客户取得相关商品控制权</w:t>
      </w:r>
      <w:r>
        <w:rPr>
          <w:rFonts w:hint="eastAsia"/>
        </w:rPr>
        <w:t>时点确认收入。</w:t>
      </w:r>
    </w:p>
    <w:p>
      <w:pPr>
        <w:numPr>
          <w:ilvl w:val="0"/>
          <w:numId w:val="0"/>
        </w:numPr>
        <w:rPr>
          <w:rFonts w:hint="eastAsia"/>
        </w:rPr>
      </w:pPr>
    </w:p>
    <w:p>
      <w:pPr>
        <w:numPr>
          <w:ilvl w:val="0"/>
          <w:numId w:val="0"/>
        </w:numPr>
        <w:rPr>
          <w:rFonts w:hint="eastAsia"/>
        </w:rPr>
      </w:pPr>
      <w:r>
        <w:rPr>
          <w:rFonts w:hint="eastAsia"/>
        </w:rPr>
        <w:t>④商业汇票结算方式销售业务：企业以商业汇票结算方式对外销售商品，在</w:t>
      </w:r>
      <w:r>
        <w:rPr>
          <w:rFonts w:hint="eastAsia"/>
          <w:color w:val="FF0000"/>
        </w:rPr>
        <w:t>收到商业汇票且客户取得相关商品控制权</w:t>
      </w:r>
      <w:r>
        <w:rPr>
          <w:rFonts w:hint="eastAsia"/>
        </w:rPr>
        <w:t>时点确认收入。</w:t>
      </w:r>
    </w:p>
    <w:p>
      <w:pPr>
        <w:numPr>
          <w:ilvl w:val="0"/>
          <w:numId w:val="0"/>
        </w:numPr>
        <w:rPr>
          <w:rFonts w:hint="eastAsia"/>
        </w:rPr>
      </w:pPr>
    </w:p>
    <w:p>
      <w:pPr>
        <w:numPr>
          <w:ilvl w:val="0"/>
          <w:numId w:val="0"/>
        </w:numPr>
        <w:rPr>
          <w:rFonts w:hint="eastAsia"/>
        </w:rPr>
      </w:pPr>
      <w:r>
        <w:rPr>
          <w:rFonts w:hint="eastAsia"/>
        </w:rPr>
        <w:t>⑤赊销方式销售业务：企业以除销方式对外销售商品，在客户取得</w:t>
      </w:r>
      <w:r>
        <w:rPr>
          <w:rFonts w:hint="eastAsia"/>
          <w:color w:val="FF0000"/>
        </w:rPr>
        <w:t>相关商品控制权时点</w:t>
      </w:r>
      <w:r>
        <w:rPr>
          <w:rFonts w:hint="eastAsia"/>
        </w:rPr>
        <w:t>确认收入。</w:t>
      </w:r>
    </w:p>
    <w:p>
      <w:pPr>
        <w:numPr>
          <w:ilvl w:val="0"/>
          <w:numId w:val="0"/>
        </w:numPr>
        <w:rPr>
          <w:rFonts w:hint="eastAsia"/>
        </w:rPr>
      </w:pPr>
    </w:p>
    <w:p>
      <w:pPr>
        <w:numPr>
          <w:ilvl w:val="0"/>
          <w:numId w:val="0"/>
        </w:numPr>
        <w:rPr>
          <w:rFonts w:hint="eastAsia"/>
        </w:rPr>
      </w:pPr>
      <w:r>
        <w:rPr>
          <w:rFonts w:hint="eastAsia"/>
        </w:rPr>
        <w:t>⑥发出商品业务：企业按合同发出商品，合同约定客户只有在商品售出取得价款后才支付货</w:t>
      </w:r>
    </w:p>
    <w:p>
      <w:pPr>
        <w:numPr>
          <w:ilvl w:val="0"/>
          <w:numId w:val="0"/>
        </w:numPr>
        <w:rPr>
          <w:rFonts w:hint="eastAsia"/>
        </w:rPr>
      </w:pPr>
      <w:r>
        <w:rPr>
          <w:rFonts w:hint="eastAsia"/>
        </w:rPr>
        <w:t>款。</w:t>
      </w:r>
    </w:p>
    <w:p>
      <w:pPr>
        <w:numPr>
          <w:ilvl w:val="0"/>
          <w:numId w:val="0"/>
        </w:numPr>
        <w:rPr>
          <w:rFonts w:hint="eastAsia"/>
        </w:rPr>
      </w:pPr>
    </w:p>
    <w:p>
      <w:pPr>
        <w:numPr>
          <w:ilvl w:val="0"/>
          <w:numId w:val="0"/>
        </w:numPr>
        <w:rPr>
          <w:rFonts w:hint="eastAsia"/>
        </w:rPr>
      </w:pPr>
      <w:r>
        <w:rPr>
          <w:rFonts w:hint="eastAsia"/>
        </w:rPr>
        <w:t>⑦材料销售业务：企业在日常活动中发生对外</w:t>
      </w:r>
      <w:r>
        <w:rPr>
          <w:rFonts w:hint="eastAsia"/>
          <w:color w:val="FF0000"/>
        </w:rPr>
        <w:t>销售不需用的原材料</w:t>
      </w:r>
      <w:r>
        <w:rPr>
          <w:rFonts w:hint="eastAsia"/>
        </w:rPr>
        <w:t>、随同商品对外</w:t>
      </w:r>
      <w:r>
        <w:rPr>
          <w:rFonts w:hint="eastAsia"/>
          <w:color w:val="FF0000"/>
        </w:rPr>
        <w:t>销售单独计价的包装物</w:t>
      </w:r>
      <w:r>
        <w:rPr>
          <w:rFonts w:hint="eastAsia"/>
        </w:rPr>
        <w:t>等业务。</w:t>
      </w:r>
    </w:p>
    <w:p>
      <w:pPr>
        <w:numPr>
          <w:ilvl w:val="0"/>
          <w:numId w:val="0"/>
        </w:numPr>
        <w:rPr>
          <w:rFonts w:hint="eastAsia"/>
        </w:rPr>
      </w:pPr>
    </w:p>
    <w:p>
      <w:pPr>
        <w:numPr>
          <w:ilvl w:val="0"/>
          <w:numId w:val="0"/>
        </w:numPr>
        <w:rPr>
          <w:rFonts w:hint="eastAsia"/>
        </w:rPr>
      </w:pPr>
      <w:r>
        <w:rPr>
          <w:rFonts w:hint="eastAsia"/>
        </w:rPr>
        <w:t>⑧销售退回业务：企业因售出商品在质量、规格等方面不符合销售合同规定条款的要求，客户要求企业予以退货。</w:t>
      </w:r>
    </w:p>
    <w:p>
      <w:pPr>
        <w:numPr>
          <w:ilvl w:val="0"/>
          <w:numId w:val="0"/>
        </w:numPr>
        <w:rPr>
          <w:rFonts w:hint="eastAsia"/>
        </w:rPr>
      </w:pPr>
    </w:p>
    <w:p>
      <w:pPr>
        <w:numPr>
          <w:ilvl w:val="0"/>
          <w:numId w:val="0"/>
        </w:numPr>
        <w:rPr>
          <w:rFonts w:hint="eastAsia"/>
        </w:rPr>
      </w:pPr>
      <w:r>
        <w:rPr>
          <w:rFonts w:hint="eastAsia"/>
        </w:rPr>
        <w:t>3、 某一时段内履行的履约义务：</w:t>
      </w:r>
    </w:p>
    <w:p>
      <w:pPr>
        <w:numPr>
          <w:ilvl w:val="0"/>
          <w:numId w:val="0"/>
        </w:numPr>
        <w:rPr>
          <w:rFonts w:hint="eastAsia"/>
        </w:rPr>
      </w:pPr>
    </w:p>
    <w:p>
      <w:pPr>
        <w:numPr>
          <w:ilvl w:val="0"/>
          <w:numId w:val="0"/>
        </w:numPr>
        <w:rPr>
          <w:rFonts w:hint="eastAsia"/>
        </w:rPr>
      </w:pPr>
      <w:r>
        <w:rPr>
          <w:rFonts w:hint="eastAsia"/>
        </w:rPr>
        <w:t>(1)客户在企业</w:t>
      </w:r>
      <w:r>
        <w:rPr>
          <w:rFonts w:hint="eastAsia"/>
          <w:color w:val="00B050"/>
        </w:rPr>
        <w:t>履约的同时即取得并消耗企业</w:t>
      </w:r>
      <w:r>
        <w:rPr>
          <w:rFonts w:hint="eastAsia"/>
        </w:rPr>
        <w:t xml:space="preserve">履约所带来的经济利益。 </w:t>
      </w:r>
      <w:r>
        <w:rPr>
          <w:rFonts w:hint="eastAsia"/>
          <w:color w:val="FF0000"/>
        </w:rPr>
        <w:t xml:space="preserve"> 【边履约边受益】</w:t>
      </w:r>
    </w:p>
    <w:p>
      <w:pPr>
        <w:numPr>
          <w:ilvl w:val="0"/>
          <w:numId w:val="0"/>
        </w:numPr>
        <w:rPr>
          <w:rFonts w:hint="eastAsia"/>
        </w:rPr>
      </w:pPr>
      <w:r>
        <w:rPr>
          <w:rFonts w:hint="eastAsia"/>
        </w:rPr>
        <w:t>(2)</w:t>
      </w:r>
      <w:r>
        <w:rPr>
          <w:rFonts w:hint="eastAsia"/>
          <w:color w:val="00B050"/>
        </w:rPr>
        <w:t>客户能够控制</w:t>
      </w:r>
      <w:r>
        <w:rPr>
          <w:rFonts w:hint="eastAsia"/>
        </w:rPr>
        <w:t xml:space="preserve">企业履约过程中在建的商品。  </w:t>
      </w:r>
      <w:r>
        <w:rPr>
          <w:rFonts w:hint="eastAsia"/>
          <w:color w:val="FF0000"/>
        </w:rPr>
        <w:t>【客户能够控制在建的商品】</w:t>
      </w:r>
    </w:p>
    <w:p>
      <w:pPr>
        <w:numPr>
          <w:ilvl w:val="0"/>
          <w:numId w:val="0"/>
        </w:numPr>
        <w:rPr>
          <w:rFonts w:hint="eastAsia"/>
          <w:color w:val="00B050"/>
        </w:rPr>
      </w:pPr>
      <w:r>
        <w:rPr>
          <w:rFonts w:hint="eastAsia"/>
        </w:rPr>
        <w:t>(3)企业履约过程中所产出的商品具有</w:t>
      </w:r>
      <w:r>
        <w:rPr>
          <w:rFonts w:hint="eastAsia"/>
          <w:color w:val="00B050"/>
        </w:rPr>
        <w:t>不可替代用途</w:t>
      </w:r>
      <w:r>
        <w:rPr>
          <w:rFonts w:hint="eastAsia"/>
        </w:rPr>
        <w:t>，且该企业在整个合同期间内</w:t>
      </w:r>
      <w:r>
        <w:rPr>
          <w:rFonts w:hint="eastAsia"/>
          <w:color w:val="00B050"/>
        </w:rPr>
        <w:t>有权</w:t>
      </w:r>
    </w:p>
    <w:p>
      <w:pPr>
        <w:numPr>
          <w:ilvl w:val="0"/>
          <w:numId w:val="0"/>
        </w:numPr>
        <w:rPr>
          <w:rFonts w:hint="eastAsia"/>
          <w:color w:val="FF0000"/>
        </w:rPr>
      </w:pPr>
      <w:r>
        <w:rPr>
          <w:rFonts w:hint="eastAsia"/>
          <w:color w:val="00B050"/>
        </w:rPr>
        <w:t>就累计至今</w:t>
      </w:r>
      <w:r>
        <w:rPr>
          <w:rFonts w:hint="eastAsia"/>
        </w:rPr>
        <w:t xml:space="preserve">已完成的履约部分收取款项。 </w:t>
      </w:r>
      <w:r>
        <w:rPr>
          <w:rFonts w:hint="eastAsia"/>
          <w:color w:val="FF0000"/>
        </w:rPr>
        <w:t xml:space="preserve"> 【不可替代用途+有权收取合理款项】</w:t>
      </w:r>
    </w:p>
    <w:p>
      <w:pPr>
        <w:numPr>
          <w:ilvl w:val="0"/>
          <w:numId w:val="0"/>
        </w:numPr>
        <w:rPr>
          <w:rFonts w:hint="eastAsia"/>
        </w:rPr>
      </w:pPr>
    </w:p>
    <w:p>
      <w:pPr>
        <w:numPr>
          <w:ilvl w:val="0"/>
          <w:numId w:val="0"/>
        </w:numPr>
        <w:rPr>
          <w:rFonts w:hint="eastAsia"/>
        </w:rPr>
      </w:pPr>
      <w:r>
        <w:rPr>
          <w:rFonts w:hint="eastAsia"/>
        </w:rPr>
        <w:t>4、 哪些税费记入</w:t>
      </w:r>
      <w:r>
        <w:rPr>
          <w:rFonts w:hint="eastAsia"/>
          <w:color w:val="00B050"/>
        </w:rPr>
        <w:t>“税金及附加”？</w:t>
      </w:r>
    </w:p>
    <w:p>
      <w:pPr>
        <w:numPr>
          <w:ilvl w:val="0"/>
          <w:numId w:val="0"/>
        </w:numPr>
        <w:rPr>
          <w:rFonts w:hint="eastAsia"/>
        </w:rPr>
      </w:pPr>
    </w:p>
    <w:p>
      <w:pPr>
        <w:numPr>
          <w:ilvl w:val="0"/>
          <w:numId w:val="0"/>
        </w:numPr>
        <w:rPr>
          <w:rFonts w:hint="eastAsia"/>
          <w:color w:val="00B050"/>
        </w:rPr>
      </w:pPr>
      <w:r>
        <w:rPr>
          <w:rFonts w:hint="eastAsia"/>
        </w:rPr>
        <w:t>税金及附加是指企业经营活动应负担的相关税费，包括</w:t>
      </w:r>
      <w:r>
        <w:rPr>
          <w:rFonts w:hint="eastAsia"/>
          <w:color w:val="00B050"/>
        </w:rPr>
        <w:t>消费税，城市维护建设税、教</w:t>
      </w:r>
    </w:p>
    <w:p>
      <w:pPr>
        <w:numPr>
          <w:ilvl w:val="0"/>
          <w:numId w:val="0"/>
        </w:numPr>
        <w:rPr>
          <w:rFonts w:hint="eastAsia"/>
        </w:rPr>
      </w:pPr>
      <w:r>
        <w:rPr>
          <w:rFonts w:hint="eastAsia"/>
          <w:color w:val="00B050"/>
        </w:rPr>
        <w:t>育费附加、资源税、土地增值税、房产税、环境保护税、车船税、城镇土地使用税、印花税等。</w:t>
      </w:r>
    </w:p>
    <w:p>
      <w:pPr>
        <w:numPr>
          <w:ilvl w:val="0"/>
          <w:numId w:val="0"/>
        </w:numPr>
        <w:rPr>
          <w:rFonts w:hint="eastAsia"/>
        </w:rPr>
      </w:pPr>
    </w:p>
    <w:p>
      <w:pPr>
        <w:numPr>
          <w:ilvl w:val="0"/>
          <w:numId w:val="0"/>
        </w:numPr>
        <w:rPr>
          <w:rFonts w:hint="eastAsia"/>
        </w:rPr>
      </w:pPr>
      <w:r>
        <w:rPr>
          <w:rFonts w:hint="eastAsia"/>
        </w:rPr>
        <w:t>5、 财务费用包括的主要内容？</w:t>
      </w:r>
    </w:p>
    <w:p>
      <w:pPr>
        <w:numPr>
          <w:ilvl w:val="0"/>
          <w:numId w:val="0"/>
        </w:numPr>
        <w:rPr>
          <w:rFonts w:hint="eastAsia"/>
        </w:rPr>
      </w:pPr>
    </w:p>
    <w:p>
      <w:pPr>
        <w:numPr>
          <w:ilvl w:val="0"/>
          <w:numId w:val="0"/>
        </w:numPr>
        <w:rPr>
          <w:rFonts w:hint="eastAsia"/>
        </w:rPr>
      </w:pPr>
      <w:r>
        <w:rPr>
          <w:rFonts w:hint="eastAsia"/>
          <w:color w:val="00B050"/>
        </w:rPr>
        <w:t>财务费用</w:t>
      </w:r>
      <w:r>
        <w:rPr>
          <w:rFonts w:hint="eastAsia"/>
        </w:rPr>
        <w:t>是指企业为筹集生产经营所需资金等而发生的筹资费用，包括</w:t>
      </w:r>
      <w:r>
        <w:rPr>
          <w:rFonts w:hint="eastAsia"/>
          <w:color w:val="00B050"/>
        </w:rPr>
        <w:t>利息支出(减利息收入)、汇兑损益</w:t>
      </w:r>
      <w:r>
        <w:rPr>
          <w:rFonts w:hint="eastAsia"/>
        </w:rPr>
        <w:t>以及</w:t>
      </w:r>
      <w:r>
        <w:rPr>
          <w:rFonts w:hint="eastAsia"/>
          <w:color w:val="00B050"/>
        </w:rPr>
        <w:t>相关的手续费</w:t>
      </w:r>
      <w:r>
        <w:rPr>
          <w:rFonts w:hint="eastAsia"/>
        </w:rPr>
        <w:t>等。</w:t>
      </w:r>
    </w:p>
    <w:p>
      <w:pPr>
        <w:numPr>
          <w:ilvl w:val="0"/>
          <w:numId w:val="0"/>
        </w:numPr>
        <w:rPr>
          <w:rFonts w:hint="eastAsia"/>
        </w:rPr>
      </w:pPr>
    </w:p>
    <w:p>
      <w:pPr>
        <w:numPr>
          <w:ilvl w:val="0"/>
          <w:numId w:val="0"/>
        </w:numPr>
        <w:rPr>
          <w:rFonts w:hint="eastAsia"/>
        </w:rPr>
      </w:pPr>
      <w:r>
        <w:rPr>
          <w:rFonts w:hint="eastAsia"/>
        </w:rPr>
        <w:t xml:space="preserve">6、 </w:t>
      </w:r>
      <w:r>
        <w:rPr>
          <w:rFonts w:hint="eastAsia"/>
          <w:color w:val="FF0000"/>
        </w:rPr>
        <w:t>三大利润计算公式：</w:t>
      </w:r>
    </w:p>
    <w:p>
      <w:pPr>
        <w:numPr>
          <w:ilvl w:val="0"/>
          <w:numId w:val="0"/>
        </w:numPr>
        <w:rPr>
          <w:rFonts w:hint="eastAsia"/>
        </w:rPr>
      </w:pPr>
    </w:p>
    <w:p>
      <w:pPr>
        <w:numPr>
          <w:ilvl w:val="0"/>
          <w:numId w:val="0"/>
        </w:numPr>
        <w:rPr>
          <w:rFonts w:hint="eastAsia"/>
        </w:rPr>
      </w:pPr>
      <w:r>
        <w:rPr>
          <w:rFonts w:hint="eastAsia"/>
          <w:color w:val="FF0000"/>
        </w:rPr>
        <w:t>营业利润</w:t>
      </w:r>
      <w:r>
        <w:rPr>
          <w:rFonts w:hint="eastAsia"/>
        </w:rPr>
        <w:t xml:space="preserve"> =营业收入-营业成本-税金及附加-销售费用-管理费用-研发费用-财务费用+其他收益  +投资收益（ -投资损失） +净敞口套期收益（ -净敞口套期损失）  +公允价值变动收益（ -公允价值变动损失）  -信用减值损失-资产减值损失+资产处置收益（ -资产处置损失）</w:t>
      </w:r>
    </w:p>
    <w:p>
      <w:pPr>
        <w:numPr>
          <w:ilvl w:val="0"/>
          <w:numId w:val="0"/>
        </w:numPr>
        <w:rPr>
          <w:rFonts w:hint="eastAsia"/>
        </w:rPr>
      </w:pPr>
    </w:p>
    <w:p>
      <w:pPr>
        <w:numPr>
          <w:ilvl w:val="0"/>
          <w:numId w:val="0"/>
        </w:numPr>
        <w:rPr>
          <w:rFonts w:hint="eastAsia"/>
          <w:color w:val="00B0F0"/>
        </w:rPr>
      </w:pPr>
      <w:r>
        <w:rPr>
          <w:rFonts w:hint="eastAsia"/>
          <w:color w:val="00B0F0"/>
        </w:rPr>
        <w:t>利润总额 =营业利润+营业外收入-营业外支出</w:t>
      </w:r>
    </w:p>
    <w:p>
      <w:pPr>
        <w:numPr>
          <w:ilvl w:val="0"/>
          <w:numId w:val="0"/>
        </w:numPr>
        <w:rPr>
          <w:rFonts w:hint="eastAsia"/>
          <w:color w:val="00B0F0"/>
        </w:rPr>
      </w:pPr>
      <w:r>
        <w:rPr>
          <w:rFonts w:hint="eastAsia"/>
          <w:color w:val="00B0F0"/>
        </w:rPr>
        <w:t>净利润 =利润总额-所得税费用</w:t>
      </w:r>
    </w:p>
    <w:p>
      <w:pPr>
        <w:numPr>
          <w:ilvl w:val="0"/>
          <w:numId w:val="0"/>
        </w:numPr>
        <w:rPr>
          <w:rFonts w:hint="eastAsia"/>
        </w:rPr>
      </w:pPr>
    </w:p>
    <w:p>
      <w:pPr>
        <w:numPr>
          <w:ilvl w:val="0"/>
          <w:numId w:val="0"/>
        </w:numPr>
        <w:rPr>
          <w:rFonts w:hint="eastAsia"/>
        </w:rPr>
      </w:pPr>
      <w:r>
        <w:rPr>
          <w:rFonts w:hint="eastAsia"/>
        </w:rPr>
        <w:t>7、 营业外收支的主要内容：</w:t>
      </w:r>
    </w:p>
    <w:p>
      <w:pPr>
        <w:numPr>
          <w:ilvl w:val="0"/>
          <w:numId w:val="0"/>
        </w:numPr>
        <w:rPr>
          <w:rFonts w:hint="eastAsia"/>
        </w:rPr>
      </w:pPr>
    </w:p>
    <w:p>
      <w:pPr>
        <w:numPr>
          <w:ilvl w:val="0"/>
          <w:numId w:val="0"/>
        </w:numPr>
        <w:rPr>
          <w:rFonts w:hint="eastAsia"/>
        </w:rPr>
      </w:pPr>
      <w:r>
        <w:rPr>
          <w:rFonts w:hint="eastAsia"/>
        </w:rPr>
        <w:t>营业外收入是指企业确认的与其日常生产经营活动无直接关系的各项利得。</w:t>
      </w:r>
    </w:p>
    <w:p>
      <w:pPr>
        <w:numPr>
          <w:ilvl w:val="0"/>
          <w:numId w:val="0"/>
        </w:numPr>
        <w:rPr>
          <w:rFonts w:hint="eastAsia"/>
        </w:rPr>
      </w:pPr>
    </w:p>
    <w:p>
      <w:pPr>
        <w:numPr>
          <w:ilvl w:val="0"/>
          <w:numId w:val="0"/>
        </w:numPr>
        <w:rPr>
          <w:rFonts w:hint="eastAsia"/>
        </w:rPr>
      </w:pPr>
      <w:r>
        <w:rPr>
          <w:rFonts w:hint="eastAsia"/>
        </w:rPr>
        <w:t xml:space="preserve">主要包括：  </w:t>
      </w:r>
      <w:r>
        <w:rPr>
          <w:rFonts w:hint="eastAsia"/>
          <w:color w:val="FF0000"/>
        </w:rPr>
        <w:t>非流动资产毁损报废收益（指因自然灾害等发生毁损、已丧失使用功能而报废非流 动资产发生的清理收益）、盘盈利得（仅限于无法查明原因的现金盘盈）、捐赠利得、与企业日常活动无关的政府补助、确实无法支付而按规定程序经批准后转作营业外收入的应付款项</w:t>
      </w:r>
      <w:r>
        <w:rPr>
          <w:rFonts w:hint="eastAsia"/>
        </w:rPr>
        <w:t>等。</w:t>
      </w:r>
    </w:p>
    <w:p>
      <w:pPr>
        <w:numPr>
          <w:ilvl w:val="0"/>
          <w:numId w:val="0"/>
        </w:numPr>
        <w:rPr>
          <w:rFonts w:hint="eastAsia"/>
        </w:rPr>
      </w:pPr>
    </w:p>
    <w:p>
      <w:pPr>
        <w:numPr>
          <w:ilvl w:val="0"/>
          <w:numId w:val="0"/>
        </w:numPr>
        <w:rPr>
          <w:rFonts w:hint="eastAsia"/>
        </w:rPr>
      </w:pPr>
      <w:r>
        <w:rPr>
          <w:rFonts w:hint="eastAsia"/>
        </w:rPr>
        <w:t>营业外支出是指企业发生的与其日常生产经营活动无直接关系的各项损失。</w:t>
      </w:r>
    </w:p>
    <w:p>
      <w:pPr>
        <w:numPr>
          <w:ilvl w:val="0"/>
          <w:numId w:val="0"/>
        </w:numPr>
        <w:rPr>
          <w:rFonts w:hint="eastAsia"/>
        </w:rPr>
      </w:pPr>
      <w:r>
        <w:rPr>
          <w:rFonts w:hint="eastAsia"/>
        </w:rPr>
        <w:t>主要包括：</w:t>
      </w:r>
      <w:r>
        <w:rPr>
          <w:rFonts w:hint="eastAsia"/>
          <w:color w:val="FF0000"/>
        </w:rPr>
        <w:t>非流动资产损毁报废损失、捐赠支出、盘亏损失、非常损失、罚款支出</w:t>
      </w:r>
      <w:r>
        <w:rPr>
          <w:rFonts w:hint="eastAsia"/>
        </w:rPr>
        <w:t>等。</w:t>
      </w:r>
    </w:p>
    <w:p>
      <w:pPr>
        <w:numPr>
          <w:ilvl w:val="0"/>
          <w:numId w:val="0"/>
        </w:numPr>
        <w:rPr>
          <w:rFonts w:hint="eastAsia"/>
        </w:rPr>
      </w:pPr>
    </w:p>
    <w:p>
      <w:pPr>
        <w:numPr>
          <w:ilvl w:val="0"/>
          <w:numId w:val="0"/>
        </w:numPr>
        <w:rPr>
          <w:rFonts w:hint="eastAsia"/>
        </w:rPr>
      </w:pPr>
      <w:r>
        <w:rPr>
          <w:rFonts w:hint="eastAsia"/>
        </w:rPr>
        <w:t>8、 所得税费用的计算公式：</w:t>
      </w:r>
    </w:p>
    <w:p>
      <w:pPr>
        <w:numPr>
          <w:ilvl w:val="0"/>
          <w:numId w:val="0"/>
        </w:numPr>
        <w:rPr>
          <w:rFonts w:hint="eastAsia"/>
        </w:rPr>
      </w:pPr>
    </w:p>
    <w:p>
      <w:pPr>
        <w:numPr>
          <w:ilvl w:val="0"/>
          <w:numId w:val="0"/>
        </w:numPr>
        <w:rPr>
          <w:rFonts w:hint="eastAsia"/>
          <w:color w:val="00B050"/>
        </w:rPr>
      </w:pPr>
      <w:r>
        <w:rPr>
          <w:rFonts w:hint="eastAsia"/>
          <w:color w:val="00B050"/>
        </w:rPr>
        <w:t>所得税费用 =当期所得税+递延所得税</w:t>
      </w:r>
    </w:p>
    <w:p>
      <w:pPr>
        <w:numPr>
          <w:ilvl w:val="0"/>
          <w:numId w:val="0"/>
        </w:numPr>
        <w:rPr>
          <w:rFonts w:hint="eastAsia"/>
          <w:color w:val="00B050"/>
        </w:rPr>
      </w:pPr>
    </w:p>
    <w:p>
      <w:pPr>
        <w:numPr>
          <w:ilvl w:val="0"/>
          <w:numId w:val="0"/>
        </w:numPr>
        <w:rPr>
          <w:rFonts w:hint="eastAsia"/>
          <w:color w:val="00B050"/>
        </w:rPr>
      </w:pPr>
      <w:r>
        <w:rPr>
          <w:rFonts w:hint="eastAsia"/>
          <w:color w:val="00B050"/>
        </w:rPr>
        <w:t>递延所得税 =递延所得税负债-递延所得税资产</w:t>
      </w:r>
    </w:p>
    <w:p>
      <w:pPr>
        <w:numPr>
          <w:ilvl w:val="0"/>
          <w:numId w:val="0"/>
        </w:numPr>
        <w:ind w:firstLine="1260" w:firstLineChars="600"/>
        <w:rPr>
          <w:rFonts w:hint="eastAsia"/>
          <w:color w:val="00B050"/>
        </w:rPr>
      </w:pPr>
      <w:r>
        <w:rPr>
          <w:rFonts w:hint="eastAsia"/>
          <w:color w:val="00B050"/>
        </w:rPr>
        <w:t>=（递延所得税负债期末余额-递延所得税负债期初余额）-（递延所得税资产期末余额-递延所得税资产期初余额）</w:t>
      </w:r>
    </w:p>
    <w:p>
      <w:pPr>
        <w:numPr>
          <w:ilvl w:val="0"/>
          <w:numId w:val="0"/>
        </w:numPr>
        <w:rPr>
          <w:rFonts w:hint="eastAsia"/>
        </w:rPr>
      </w:pPr>
    </w:p>
    <w:p>
      <w:pPr>
        <w:numPr>
          <w:ilvl w:val="0"/>
          <w:numId w:val="0"/>
        </w:numPr>
        <w:rPr>
          <w:rFonts w:hint="eastAsia"/>
        </w:rPr>
      </w:pPr>
      <w:r>
        <w:rPr>
          <w:rFonts w:hint="eastAsia"/>
        </w:rPr>
        <w:t>第八章 财务报告</w:t>
      </w:r>
    </w:p>
    <w:p>
      <w:pPr>
        <w:numPr>
          <w:ilvl w:val="0"/>
          <w:numId w:val="0"/>
        </w:numPr>
        <w:rPr>
          <w:rFonts w:hint="eastAsia"/>
        </w:rPr>
      </w:pPr>
    </w:p>
    <w:p>
      <w:pPr>
        <w:numPr>
          <w:ilvl w:val="0"/>
          <w:numId w:val="0"/>
        </w:numPr>
        <w:rPr>
          <w:rFonts w:hint="eastAsia"/>
        </w:rPr>
      </w:pPr>
      <w:r>
        <w:rPr>
          <w:rFonts w:hint="eastAsia"/>
        </w:rPr>
        <w:t>1、 资产负债表的概念：资产负债表是反映企业在某一特定日期的财务状况的报表，是对企业特定日期的资产、负债和所有者权益的结构性表述。</w:t>
      </w:r>
    </w:p>
    <w:p>
      <w:pPr>
        <w:numPr>
          <w:ilvl w:val="0"/>
          <w:numId w:val="0"/>
        </w:numPr>
        <w:rPr>
          <w:rFonts w:hint="eastAsia"/>
        </w:rPr>
      </w:pPr>
    </w:p>
    <w:p>
      <w:pPr>
        <w:numPr>
          <w:ilvl w:val="0"/>
          <w:numId w:val="0"/>
        </w:numPr>
        <w:rPr>
          <w:rFonts w:hint="eastAsia"/>
          <w:color w:val="FF0000"/>
        </w:rPr>
      </w:pPr>
      <w:r>
        <w:rPr>
          <w:rFonts w:hint="eastAsia"/>
        </w:rPr>
        <w:t>2、 资产负债表的平衡公式：资产 =负债+所有者权益</w:t>
      </w:r>
      <w:r>
        <w:rPr>
          <w:rFonts w:hint="eastAsia"/>
          <w:color w:val="FF0000"/>
        </w:rPr>
        <w:t>【账户式结构】</w:t>
      </w:r>
    </w:p>
    <w:p>
      <w:pPr>
        <w:numPr>
          <w:ilvl w:val="0"/>
          <w:numId w:val="0"/>
        </w:numPr>
        <w:rPr>
          <w:rFonts w:hint="eastAsia"/>
          <w:color w:val="FF0000"/>
        </w:rPr>
      </w:pPr>
      <w:r>
        <w:rPr>
          <w:rFonts w:hint="eastAsia"/>
          <w:color w:val="FF0000"/>
        </w:rPr>
        <w:t>3.资产负债表填列方法</w:t>
      </w:r>
    </w:p>
    <w:p>
      <w:pPr>
        <w:numPr>
          <w:ilvl w:val="0"/>
          <w:numId w:val="0"/>
        </w:numPr>
        <w:rPr>
          <w:rFonts w:hint="eastAsia"/>
          <w:color w:val="FF0000"/>
        </w:rPr>
      </w:pPr>
    </w:p>
    <w:p>
      <w:pPr>
        <w:numPr>
          <w:ilvl w:val="0"/>
          <w:numId w:val="0"/>
        </w:numPr>
        <w:rPr>
          <w:rFonts w:hint="eastAsia"/>
          <w:color w:val="FF0000"/>
        </w:rPr>
      </w:pPr>
      <w:r>
        <w:rPr>
          <w:rFonts w:hint="eastAsia"/>
          <w:color w:val="FF0000"/>
        </w:rPr>
        <w:t>（1）根据总账科目余额填列：</w:t>
      </w:r>
    </w:p>
    <w:p>
      <w:pPr>
        <w:numPr>
          <w:ilvl w:val="0"/>
          <w:numId w:val="0"/>
        </w:numPr>
        <w:rPr>
          <w:rFonts w:hint="eastAsia"/>
        </w:rPr>
      </w:pPr>
    </w:p>
    <w:p>
      <w:pPr>
        <w:numPr>
          <w:ilvl w:val="0"/>
          <w:numId w:val="0"/>
        </w:numPr>
        <w:rPr>
          <w:rFonts w:hint="eastAsia"/>
        </w:rPr>
      </w:pPr>
      <w:r>
        <w:rPr>
          <w:rFonts w:hint="eastAsia"/>
        </w:rPr>
        <w:t>①可直接根据有关总账科目的期末余额填列：</w:t>
      </w:r>
    </w:p>
    <w:p>
      <w:pPr>
        <w:numPr>
          <w:ilvl w:val="0"/>
          <w:numId w:val="0"/>
        </w:numPr>
        <w:rPr>
          <w:rFonts w:hint="eastAsia"/>
        </w:rPr>
      </w:pPr>
      <w:r>
        <w:rPr>
          <w:rFonts w:hint="eastAsia"/>
        </w:rPr>
        <w:t>如“短期借款”“资本公积”等项目</w:t>
      </w:r>
    </w:p>
    <w:p>
      <w:pPr>
        <w:numPr>
          <w:ilvl w:val="0"/>
          <w:numId w:val="0"/>
        </w:numPr>
        <w:rPr>
          <w:rFonts w:hint="eastAsia"/>
        </w:rPr>
      </w:pPr>
    </w:p>
    <w:p>
      <w:pPr>
        <w:numPr>
          <w:ilvl w:val="0"/>
          <w:numId w:val="0"/>
        </w:numPr>
        <w:rPr>
          <w:rFonts w:hint="eastAsia"/>
        </w:rPr>
      </w:pPr>
      <w:r>
        <w:rPr>
          <w:rFonts w:hint="eastAsia"/>
        </w:rPr>
        <w:t>②需根据几个总账科目的期末余额计算填列：</w:t>
      </w:r>
    </w:p>
    <w:p>
      <w:pPr>
        <w:numPr>
          <w:ilvl w:val="0"/>
          <w:numId w:val="0"/>
        </w:numPr>
        <w:rPr>
          <w:rFonts w:hint="eastAsia"/>
        </w:rPr>
      </w:pPr>
    </w:p>
    <w:p>
      <w:pPr>
        <w:numPr>
          <w:ilvl w:val="0"/>
          <w:numId w:val="0"/>
        </w:numPr>
        <w:rPr>
          <w:rFonts w:hint="eastAsia"/>
        </w:rPr>
      </w:pPr>
      <w:r>
        <w:rPr>
          <w:rFonts w:hint="eastAsia"/>
          <w:color w:val="00B0F0"/>
        </w:rPr>
        <w:t>货币资金 =库存现金+银行存款+其他货币资金（期末余额）</w:t>
      </w:r>
    </w:p>
    <w:p>
      <w:pPr>
        <w:numPr>
          <w:ilvl w:val="0"/>
          <w:numId w:val="0"/>
        </w:numPr>
        <w:rPr>
          <w:rFonts w:hint="eastAsia"/>
        </w:rPr>
      </w:pPr>
    </w:p>
    <w:p>
      <w:pPr>
        <w:numPr>
          <w:ilvl w:val="0"/>
          <w:numId w:val="0"/>
        </w:numPr>
        <w:rPr>
          <w:rFonts w:hint="eastAsia"/>
          <w:color w:val="FF0000"/>
        </w:rPr>
      </w:pPr>
      <w:r>
        <w:rPr>
          <w:rFonts w:hint="eastAsia"/>
          <w:color w:val="FF0000"/>
        </w:rPr>
        <w:t>（2）根据明细账科目余额计算填列</w:t>
      </w:r>
    </w:p>
    <w:p>
      <w:pPr>
        <w:numPr>
          <w:ilvl w:val="0"/>
          <w:numId w:val="0"/>
        </w:numPr>
        <w:rPr>
          <w:rFonts w:hint="eastAsia"/>
        </w:rPr>
      </w:pPr>
    </w:p>
    <w:p>
      <w:pPr>
        <w:numPr>
          <w:ilvl w:val="0"/>
          <w:numId w:val="0"/>
        </w:numPr>
        <w:rPr>
          <w:rFonts w:hint="eastAsia"/>
        </w:rPr>
      </w:pPr>
      <w:r>
        <w:rPr>
          <w:rFonts w:hint="eastAsia"/>
        </w:rPr>
        <w:t>如</w:t>
      </w:r>
      <w:r>
        <w:rPr>
          <w:rFonts w:hint="eastAsia"/>
          <w:color w:val="00B0F0"/>
        </w:rPr>
        <w:t>应付账款、预收款项、预付款项、开发支出、应付职工薪酬等</w:t>
      </w:r>
    </w:p>
    <w:p>
      <w:pPr>
        <w:numPr>
          <w:ilvl w:val="0"/>
          <w:numId w:val="0"/>
        </w:numPr>
        <w:rPr>
          <w:rFonts w:hint="eastAsia"/>
        </w:rPr>
      </w:pPr>
    </w:p>
    <w:p>
      <w:pPr>
        <w:numPr>
          <w:ilvl w:val="0"/>
          <w:numId w:val="0"/>
        </w:numPr>
        <w:rPr>
          <w:rFonts w:hint="eastAsia"/>
          <w:color w:val="FF0000"/>
        </w:rPr>
      </w:pPr>
      <w:r>
        <w:rPr>
          <w:rFonts w:hint="eastAsia"/>
          <w:color w:val="FF0000"/>
        </w:rPr>
        <w:t>（3）根据总账和明细账分析计算填列，如长期借款</w:t>
      </w:r>
    </w:p>
    <w:p>
      <w:pPr>
        <w:numPr>
          <w:ilvl w:val="0"/>
          <w:numId w:val="0"/>
        </w:numPr>
        <w:rPr>
          <w:rFonts w:hint="eastAsia"/>
          <w:color w:val="FF0000"/>
        </w:rPr>
      </w:pPr>
    </w:p>
    <w:p>
      <w:pPr>
        <w:numPr>
          <w:ilvl w:val="0"/>
          <w:numId w:val="0"/>
        </w:numPr>
        <w:rPr>
          <w:rFonts w:hint="eastAsia"/>
          <w:color w:val="00B0F0"/>
        </w:rPr>
      </w:pPr>
      <w:r>
        <w:rPr>
          <w:rFonts w:hint="eastAsia"/>
          <w:color w:val="FF0000"/>
        </w:rPr>
        <w:t>（4）根据有关科目余额减去其备抵科目余额后的净额填列，</w:t>
      </w:r>
      <w:r>
        <w:rPr>
          <w:rFonts w:hint="eastAsia"/>
        </w:rPr>
        <w:t xml:space="preserve">  </w:t>
      </w:r>
      <w:r>
        <w:rPr>
          <w:rFonts w:hint="eastAsia"/>
          <w:color w:val="00B0F0"/>
        </w:rPr>
        <w:t>如“应收票据”“应收账</w:t>
      </w:r>
    </w:p>
    <w:p>
      <w:pPr>
        <w:numPr>
          <w:ilvl w:val="0"/>
          <w:numId w:val="0"/>
        </w:numPr>
        <w:rPr>
          <w:rFonts w:hint="eastAsia"/>
        </w:rPr>
      </w:pPr>
      <w:r>
        <w:rPr>
          <w:rFonts w:hint="eastAsia"/>
          <w:color w:val="00B0F0"/>
        </w:rPr>
        <w:t>款”“长期股权投资”“在建工程”“ 固定资产”“无形资产”等</w:t>
      </w:r>
    </w:p>
    <w:p>
      <w:pPr>
        <w:numPr>
          <w:ilvl w:val="0"/>
          <w:numId w:val="0"/>
        </w:numPr>
        <w:rPr>
          <w:rFonts w:hint="eastAsia"/>
        </w:rPr>
      </w:pPr>
    </w:p>
    <w:p>
      <w:pPr>
        <w:numPr>
          <w:ilvl w:val="0"/>
          <w:numId w:val="0"/>
        </w:numPr>
        <w:rPr>
          <w:rFonts w:hint="eastAsia"/>
          <w:color w:val="FF0000"/>
        </w:rPr>
      </w:pPr>
      <w:r>
        <w:rPr>
          <w:rFonts w:hint="eastAsia"/>
          <w:color w:val="FF0000"/>
        </w:rPr>
        <w:t>（5）综合运用上述填列方法分析填列，如存货</w:t>
      </w:r>
    </w:p>
    <w:p>
      <w:pPr>
        <w:numPr>
          <w:ilvl w:val="0"/>
          <w:numId w:val="0"/>
        </w:numPr>
        <w:rPr>
          <w:rFonts w:hint="eastAsia"/>
        </w:rPr>
      </w:pPr>
    </w:p>
    <w:p>
      <w:pPr>
        <w:numPr>
          <w:ilvl w:val="0"/>
          <w:numId w:val="0"/>
        </w:numPr>
        <w:rPr>
          <w:rFonts w:hint="eastAsia"/>
        </w:rPr>
      </w:pPr>
      <w:r>
        <w:rPr>
          <w:rFonts w:hint="eastAsia"/>
          <w:color w:val="00B0F0"/>
        </w:rPr>
        <w:t>存货</w:t>
      </w:r>
      <w:r>
        <w:rPr>
          <w:rFonts w:hint="eastAsia"/>
        </w:rPr>
        <w:t xml:space="preserve"> =原材料+生产成本+库存商品+委托加工物资+周转材料+材料采购+在途物资+</w:t>
      </w:r>
    </w:p>
    <w:p>
      <w:pPr>
        <w:numPr>
          <w:ilvl w:val="0"/>
          <w:numId w:val="0"/>
        </w:numPr>
        <w:rPr>
          <w:rFonts w:hint="eastAsia"/>
        </w:rPr>
      </w:pPr>
      <w:r>
        <w:rPr>
          <w:rFonts w:hint="eastAsia"/>
        </w:rPr>
        <w:t>发出商品+材料成本差异等-存货跌价准备等</w:t>
      </w:r>
    </w:p>
    <w:p>
      <w:pPr>
        <w:numPr>
          <w:ilvl w:val="0"/>
          <w:numId w:val="0"/>
        </w:numPr>
        <w:rPr>
          <w:rFonts w:hint="eastAsia"/>
        </w:rPr>
      </w:pPr>
    </w:p>
    <w:p>
      <w:pPr>
        <w:numPr>
          <w:ilvl w:val="0"/>
          <w:numId w:val="0"/>
        </w:numPr>
        <w:rPr>
          <w:rFonts w:hint="eastAsia"/>
        </w:rPr>
      </w:pPr>
      <w:r>
        <w:rPr>
          <w:rFonts w:hint="eastAsia"/>
        </w:rPr>
        <w:t>【注意】</w:t>
      </w:r>
    </w:p>
    <w:p>
      <w:pPr>
        <w:numPr>
          <w:ilvl w:val="0"/>
          <w:numId w:val="0"/>
        </w:numPr>
        <w:rPr>
          <w:rFonts w:hint="eastAsia"/>
        </w:rPr>
      </w:pPr>
    </w:p>
    <w:p>
      <w:pPr>
        <w:numPr>
          <w:ilvl w:val="0"/>
          <w:numId w:val="0"/>
        </w:numPr>
        <w:rPr>
          <w:rFonts w:hint="eastAsia"/>
          <w:color w:val="00B050"/>
        </w:rPr>
      </w:pPr>
      <w:r>
        <w:rPr>
          <w:rFonts w:hint="eastAsia"/>
          <w:color w:val="00B050"/>
        </w:rPr>
        <w:t>“工程物资”不通过存货核算。</w:t>
      </w:r>
    </w:p>
    <w:p>
      <w:pPr>
        <w:numPr>
          <w:ilvl w:val="0"/>
          <w:numId w:val="0"/>
        </w:numPr>
        <w:rPr>
          <w:rFonts w:hint="eastAsia" w:eastAsiaTheme="minorEastAsia"/>
          <w:color w:val="00B050"/>
          <w:lang w:eastAsia="zh-CN"/>
        </w:rPr>
      </w:pPr>
      <w:r>
        <w:rPr>
          <w:rFonts w:hint="eastAsia"/>
          <w:color w:val="00B050"/>
        </w:rPr>
        <w:t>“材料成本差异”贷方表节约差，减去；借方表超支差，加上</w:t>
      </w:r>
      <w:r>
        <w:rPr>
          <w:rFonts w:hint="eastAsia"/>
          <w:color w:val="00B050"/>
          <w:lang w:eastAsia="zh-CN"/>
        </w:rPr>
        <w:t>。</w:t>
      </w:r>
    </w:p>
    <w:p>
      <w:pPr>
        <w:numPr>
          <w:ilvl w:val="0"/>
          <w:numId w:val="0"/>
        </w:numPr>
        <w:rPr>
          <w:rFonts w:hint="eastAsia"/>
          <w:color w:val="00B050"/>
        </w:rPr>
      </w:pPr>
      <w:r>
        <w:rPr>
          <w:rFonts w:hint="eastAsia"/>
          <w:color w:val="00B050"/>
        </w:rPr>
        <w:t>“受托代销商品”和“受托代销商品款”一增一减相互抵消。</w:t>
      </w:r>
    </w:p>
    <w:p>
      <w:pPr>
        <w:numPr>
          <w:ilvl w:val="0"/>
          <w:numId w:val="0"/>
        </w:numPr>
        <w:rPr>
          <w:rFonts w:hint="eastAsia"/>
          <w:color w:val="00B050"/>
        </w:rPr>
      </w:pPr>
      <w:r>
        <w:rPr>
          <w:rFonts w:hint="eastAsia"/>
          <w:color w:val="00B050"/>
        </w:rPr>
        <w:t>“商品进销差价”贷方，需要减去。</w:t>
      </w:r>
    </w:p>
    <w:p>
      <w:pPr>
        <w:numPr>
          <w:ilvl w:val="0"/>
          <w:numId w:val="0"/>
        </w:numPr>
        <w:rPr>
          <w:rFonts w:hint="eastAsia"/>
        </w:rPr>
      </w:pPr>
    </w:p>
    <w:p>
      <w:pPr>
        <w:numPr>
          <w:ilvl w:val="0"/>
          <w:numId w:val="0"/>
        </w:numPr>
        <w:rPr>
          <w:rFonts w:hint="eastAsia"/>
        </w:rPr>
      </w:pPr>
      <w:r>
        <w:rPr>
          <w:rFonts w:hint="eastAsia"/>
        </w:rPr>
        <w:t>3、 利润表的概念：利润表，又称损益表，是反映企业在一定会计期间的经营成果的报表。</w:t>
      </w:r>
    </w:p>
    <w:p>
      <w:pPr>
        <w:numPr>
          <w:ilvl w:val="0"/>
          <w:numId w:val="0"/>
        </w:numPr>
        <w:rPr>
          <w:rFonts w:hint="eastAsia"/>
        </w:rPr>
      </w:pPr>
      <w:r>
        <w:rPr>
          <w:rFonts w:hint="eastAsia"/>
        </w:rPr>
        <w:t>4、 利润表的平衡公式：收入-费用 =利润</w:t>
      </w:r>
      <w:r>
        <w:rPr>
          <w:rFonts w:hint="eastAsia"/>
          <w:color w:val="FF0000"/>
        </w:rPr>
        <w:t>【多步式结构】</w:t>
      </w:r>
    </w:p>
    <w:p>
      <w:pPr>
        <w:numPr>
          <w:ilvl w:val="0"/>
          <w:numId w:val="0"/>
        </w:numPr>
        <w:rPr>
          <w:rFonts w:hint="eastAsia"/>
        </w:rPr>
      </w:pPr>
    </w:p>
    <w:p>
      <w:pPr>
        <w:numPr>
          <w:ilvl w:val="0"/>
          <w:numId w:val="0"/>
        </w:numPr>
        <w:rPr>
          <w:rFonts w:hint="eastAsia"/>
        </w:rPr>
      </w:pPr>
      <w:r>
        <w:rPr>
          <w:rFonts w:hint="eastAsia"/>
        </w:rPr>
        <w:t>利润表编制的原理是“</w:t>
      </w:r>
      <w:r>
        <w:rPr>
          <w:rFonts w:hint="eastAsia"/>
          <w:color w:val="FF0000"/>
        </w:rPr>
        <w:t>收入-费用 =利润</w:t>
      </w:r>
      <w:r>
        <w:rPr>
          <w:rFonts w:hint="eastAsia"/>
        </w:rPr>
        <w:t>”的会计平衡公式和</w:t>
      </w:r>
      <w:r>
        <w:rPr>
          <w:rFonts w:hint="eastAsia"/>
          <w:color w:val="FF0000"/>
        </w:rPr>
        <w:t>收入与费用的配比原则</w:t>
      </w:r>
      <w:r>
        <w:rPr>
          <w:rFonts w:hint="eastAsia"/>
        </w:rPr>
        <w:t>。</w:t>
      </w:r>
    </w:p>
    <w:p>
      <w:pPr>
        <w:numPr>
          <w:ilvl w:val="0"/>
          <w:numId w:val="0"/>
        </w:numPr>
        <w:rPr>
          <w:rFonts w:hint="eastAsia"/>
        </w:rPr>
      </w:pPr>
    </w:p>
    <w:p>
      <w:pPr>
        <w:numPr>
          <w:ilvl w:val="0"/>
          <w:numId w:val="0"/>
        </w:numPr>
        <w:rPr>
          <w:rFonts w:hint="eastAsia"/>
        </w:rPr>
      </w:pPr>
      <w:r>
        <w:rPr>
          <w:rFonts w:hint="eastAsia"/>
        </w:rPr>
        <w:t>5、 现金流量表的概念：现金流量表，是指反映企业在一定会计期间现金和现金等价物流入和流出的报表。</w:t>
      </w:r>
    </w:p>
    <w:p>
      <w:pPr>
        <w:numPr>
          <w:ilvl w:val="0"/>
          <w:numId w:val="0"/>
        </w:numPr>
        <w:rPr>
          <w:rFonts w:hint="eastAsia"/>
        </w:rPr>
      </w:pPr>
    </w:p>
    <w:p>
      <w:pPr>
        <w:numPr>
          <w:ilvl w:val="0"/>
          <w:numId w:val="6"/>
        </w:numPr>
        <w:ind w:left="0" w:leftChars="0" w:firstLine="0" w:firstLineChars="0"/>
        <w:rPr>
          <w:rFonts w:hint="eastAsia"/>
        </w:rPr>
      </w:pPr>
      <w:r>
        <w:rPr>
          <w:rFonts w:hint="eastAsia"/>
        </w:rPr>
        <w:t xml:space="preserve">现金流量表的平衡公式：  </w:t>
      </w:r>
      <w:r>
        <w:rPr>
          <w:rFonts w:hint="eastAsia"/>
          <w:color w:val="00B0F0"/>
        </w:rPr>
        <w:t>现金流入量-现金流出量 =现金净流量</w:t>
      </w:r>
    </w:p>
    <w:p>
      <w:pPr>
        <w:numPr>
          <w:ilvl w:val="0"/>
          <w:numId w:val="0"/>
        </w:numPr>
        <w:ind w:leftChars="0"/>
        <w:rPr>
          <w:rFonts w:hint="eastAsia"/>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4"/>
        <w:gridCol w:w="5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4" w:type="dxa"/>
          </w:tcPr>
          <w:p>
            <w:pPr>
              <w:widowControl w:val="0"/>
              <w:numPr>
                <w:ilvl w:val="0"/>
                <w:numId w:val="0"/>
              </w:numPr>
              <w:rPr>
                <w:rFonts w:hint="eastAsia" w:eastAsiaTheme="minorEastAsia"/>
                <w:vertAlign w:val="baseline"/>
                <w:lang w:eastAsia="zh-CN"/>
              </w:rPr>
            </w:pPr>
            <w:r>
              <w:rPr>
                <w:rFonts w:hint="eastAsia"/>
                <w:vertAlign w:val="baseline"/>
                <w:lang w:eastAsia="zh-CN"/>
              </w:rPr>
              <w:t>经营活动产生的现金流量</w:t>
            </w:r>
            <w:r>
              <w:rPr>
                <w:rFonts w:hint="eastAsia"/>
                <w:color w:val="FF0000"/>
                <w:vertAlign w:val="baseline"/>
                <w:lang w:eastAsia="zh-CN"/>
              </w:rPr>
              <w:t>（排除法）</w:t>
            </w:r>
          </w:p>
        </w:tc>
        <w:tc>
          <w:tcPr>
            <w:tcW w:w="5078" w:type="dxa"/>
          </w:tcPr>
          <w:p>
            <w:pPr>
              <w:widowControl w:val="0"/>
              <w:numPr>
                <w:ilvl w:val="0"/>
                <w:numId w:val="0"/>
              </w:numPr>
              <w:rPr>
                <w:rFonts w:hint="eastAsia" w:eastAsiaTheme="minorEastAsia"/>
                <w:vertAlign w:val="baseline"/>
                <w:lang w:eastAsia="zh-CN"/>
              </w:rPr>
            </w:pPr>
            <w:r>
              <w:rPr>
                <w:rFonts w:hint="eastAsia" w:eastAsiaTheme="minorEastAsia"/>
                <w:color w:val="FF0000"/>
                <w:vertAlign w:val="baseline"/>
                <w:lang w:eastAsia="zh-CN"/>
              </w:rPr>
              <w:t>如销售商品收到现金、购买商品支付现金、经营性租赁、制造产品、广告宣传、缴纳税款等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4" w:type="dxa"/>
          </w:tcPr>
          <w:p>
            <w:pPr>
              <w:widowControl w:val="0"/>
              <w:numPr>
                <w:ilvl w:val="0"/>
                <w:numId w:val="0"/>
              </w:numPr>
              <w:rPr>
                <w:rFonts w:hint="eastAsia"/>
                <w:vertAlign w:val="baseline"/>
                <w:lang w:eastAsia="zh-CN"/>
              </w:rPr>
            </w:pPr>
            <w:r>
              <w:rPr>
                <w:rFonts w:hint="eastAsia"/>
                <w:vertAlign w:val="baseline"/>
                <w:lang w:eastAsia="zh-CN"/>
              </w:rPr>
              <w:t>主要分类</w:t>
            </w:r>
          </w:p>
        </w:tc>
        <w:tc>
          <w:tcPr>
            <w:tcW w:w="5078" w:type="dxa"/>
          </w:tcPr>
          <w:p>
            <w:pPr>
              <w:widowControl w:val="0"/>
              <w:numPr>
                <w:ilvl w:val="0"/>
                <w:numId w:val="0"/>
              </w:numPr>
              <w:rPr>
                <w:rFonts w:hint="eastAsia" w:eastAsiaTheme="minorEastAsia"/>
                <w:vertAlign w:val="baseline"/>
                <w:lang w:eastAsia="zh-CN"/>
              </w:rPr>
            </w:pPr>
            <w:r>
              <w:rPr>
                <w:rFonts w:hint="eastAsia"/>
                <w:vertAlign w:val="baseline"/>
                <w:lang w:eastAsia="zh-CN"/>
              </w:rPr>
              <w:t>举例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4" w:type="dxa"/>
          </w:tcPr>
          <w:p>
            <w:pPr>
              <w:widowControl w:val="0"/>
              <w:numPr>
                <w:ilvl w:val="0"/>
                <w:numId w:val="0"/>
              </w:numPr>
              <w:rPr>
                <w:rFonts w:hint="eastAsia" w:eastAsiaTheme="minorEastAsia"/>
                <w:vertAlign w:val="baseline"/>
                <w:lang w:eastAsia="zh-CN"/>
              </w:rPr>
            </w:pPr>
            <w:r>
              <w:rPr>
                <w:rFonts w:hint="eastAsia"/>
                <w:vertAlign w:val="baseline"/>
                <w:lang w:eastAsia="zh-CN"/>
              </w:rPr>
              <w:t>投资活动产生的现金流量</w:t>
            </w:r>
            <w:r>
              <w:rPr>
                <w:rFonts w:hint="eastAsia"/>
                <w:color w:val="FF0000"/>
                <w:vertAlign w:val="baseline"/>
                <w:lang w:eastAsia="zh-CN"/>
              </w:rPr>
              <w:t>（有钱人）</w:t>
            </w:r>
          </w:p>
        </w:tc>
        <w:tc>
          <w:tcPr>
            <w:tcW w:w="5078" w:type="dxa"/>
          </w:tcPr>
          <w:p>
            <w:pPr>
              <w:widowControl w:val="0"/>
              <w:numPr>
                <w:ilvl w:val="0"/>
                <w:numId w:val="0"/>
              </w:numPr>
              <w:rPr>
                <w:rFonts w:hint="eastAsia"/>
                <w:vertAlign w:val="baseline"/>
              </w:rPr>
            </w:pPr>
            <w:r>
              <w:rPr>
                <w:rFonts w:hint="eastAsia"/>
                <w:color w:val="FF0000"/>
                <w:vertAlign w:val="baseline"/>
              </w:rPr>
              <w:t>购买股票或债券支付现金、销售长期投资收回现金、购建或处置固定资产 、无形资产等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4" w:type="dxa"/>
          </w:tcPr>
          <w:p>
            <w:pPr>
              <w:widowControl w:val="0"/>
              <w:numPr>
                <w:ilvl w:val="0"/>
                <w:numId w:val="0"/>
              </w:numPr>
              <w:rPr>
                <w:rFonts w:hint="eastAsia" w:eastAsiaTheme="minorEastAsia"/>
                <w:vertAlign w:val="baseline"/>
                <w:lang w:eastAsia="zh-CN"/>
              </w:rPr>
            </w:pPr>
            <w:r>
              <w:rPr>
                <w:rFonts w:hint="eastAsia"/>
                <w:vertAlign w:val="baseline"/>
                <w:lang w:eastAsia="zh-CN"/>
              </w:rPr>
              <w:t>筹资活动产生的现金流量</w:t>
            </w:r>
            <w:r>
              <w:rPr>
                <w:rFonts w:hint="eastAsia"/>
                <w:color w:val="FF0000"/>
                <w:vertAlign w:val="baseline"/>
                <w:lang w:eastAsia="zh-CN"/>
              </w:rPr>
              <w:t>（穷人）</w:t>
            </w:r>
          </w:p>
        </w:tc>
        <w:tc>
          <w:tcPr>
            <w:tcW w:w="5078" w:type="dxa"/>
          </w:tcPr>
          <w:p>
            <w:pPr>
              <w:widowControl w:val="0"/>
              <w:numPr>
                <w:ilvl w:val="0"/>
                <w:numId w:val="0"/>
              </w:numPr>
              <w:rPr>
                <w:rFonts w:hint="eastAsia"/>
                <w:vertAlign w:val="baseline"/>
              </w:rPr>
            </w:pPr>
            <w:r>
              <w:rPr>
                <w:rFonts w:hint="eastAsia"/>
                <w:color w:val="FF0000"/>
                <w:vertAlign w:val="baseline"/>
              </w:rPr>
              <w:t>向银行借入款项收到现金、归还银行借款支付现金、吸收投资、发行股票、分配利润等</w:t>
            </w:r>
          </w:p>
        </w:tc>
      </w:tr>
    </w:tbl>
    <w:p>
      <w:pPr>
        <w:numPr>
          <w:ilvl w:val="0"/>
          <w:numId w:val="0"/>
        </w:numPr>
        <w:ind w:leftChars="0"/>
        <w:rPr>
          <w:rFonts w:hint="eastAsia"/>
        </w:rPr>
      </w:pPr>
    </w:p>
    <w:p>
      <w:pPr>
        <w:numPr>
          <w:ilvl w:val="0"/>
          <w:numId w:val="0"/>
        </w:numPr>
        <w:ind w:leftChars="0"/>
        <w:rPr>
          <w:rFonts w:hint="eastAsia"/>
        </w:rPr>
      </w:pPr>
      <w:r>
        <w:rPr>
          <w:rFonts w:hint="eastAsia"/>
        </w:rPr>
        <w:t>7. 现金流量表填列方法</w:t>
      </w:r>
    </w:p>
    <w:p>
      <w:pPr>
        <w:numPr>
          <w:ilvl w:val="0"/>
          <w:numId w:val="0"/>
        </w:numPr>
        <w:ind w:leftChars="0"/>
        <w:rPr>
          <w:rFonts w:hint="eastAsia"/>
        </w:rPr>
      </w:pPr>
    </w:p>
    <w:p>
      <w:pPr>
        <w:numPr>
          <w:ilvl w:val="0"/>
          <w:numId w:val="7"/>
        </w:numPr>
        <w:ind w:leftChars="0"/>
        <w:rPr>
          <w:rFonts w:hint="eastAsia"/>
          <w:color w:val="FF0000"/>
        </w:rPr>
      </w:pPr>
      <w:r>
        <w:rPr>
          <w:rFonts w:hint="eastAsia"/>
        </w:rPr>
        <w:t xml:space="preserve">直接法（现金流量表正表）  </w:t>
      </w:r>
      <w:r>
        <w:rPr>
          <w:rFonts w:hint="eastAsia"/>
          <w:color w:val="FF0000"/>
        </w:rPr>
        <w:t>【工作底稿法】【T 型账户法】</w:t>
      </w:r>
    </w:p>
    <w:p>
      <w:pPr>
        <w:numPr>
          <w:ilvl w:val="0"/>
          <w:numId w:val="0"/>
        </w:numPr>
        <w:rPr>
          <w:rFonts w:hint="eastAsia"/>
          <w:color w:val="FF0000"/>
        </w:rPr>
      </w:pPr>
      <w:r>
        <w:rPr>
          <w:rFonts w:hint="eastAsia"/>
          <w:color w:val="FF0000"/>
        </w:rPr>
        <w:t>【起算点】利润表中的营业收入。</w:t>
      </w:r>
    </w:p>
    <w:p>
      <w:pPr>
        <w:numPr>
          <w:ilvl w:val="0"/>
          <w:numId w:val="0"/>
        </w:numPr>
        <w:ind w:leftChars="0"/>
        <w:rPr>
          <w:rFonts w:hint="eastAsia"/>
        </w:rPr>
      </w:pPr>
    </w:p>
    <w:p>
      <w:pPr>
        <w:numPr>
          <w:ilvl w:val="0"/>
          <w:numId w:val="7"/>
        </w:numPr>
        <w:ind w:left="0" w:leftChars="0" w:firstLine="0" w:firstLineChars="0"/>
        <w:rPr>
          <w:rFonts w:hint="eastAsia"/>
        </w:rPr>
      </w:pPr>
      <w:r>
        <w:rPr>
          <w:rFonts w:hint="eastAsia"/>
        </w:rPr>
        <w:t>间接法（现金流量表附表，即在附注中披露）</w:t>
      </w:r>
    </w:p>
    <w:p>
      <w:pPr>
        <w:numPr>
          <w:ilvl w:val="0"/>
          <w:numId w:val="0"/>
        </w:numPr>
        <w:ind w:leftChars="0"/>
        <w:rPr>
          <w:rFonts w:hint="eastAsia"/>
          <w:color w:val="FF0000"/>
        </w:rPr>
      </w:pPr>
      <w:r>
        <w:rPr>
          <w:rFonts w:hint="eastAsia"/>
          <w:color w:val="FF0000"/>
        </w:rPr>
        <w:t>【起算点】净利润</w:t>
      </w:r>
    </w:p>
    <w:p>
      <w:pPr>
        <w:numPr>
          <w:ilvl w:val="0"/>
          <w:numId w:val="0"/>
        </w:numPr>
        <w:ind w:leftChars="0"/>
        <w:rPr>
          <w:rFonts w:hint="eastAsia"/>
          <w:color w:val="FF0000"/>
        </w:rPr>
      </w:pPr>
    </w:p>
    <w:p>
      <w:pPr>
        <w:numPr>
          <w:ilvl w:val="0"/>
          <w:numId w:val="0"/>
        </w:numPr>
        <w:ind w:leftChars="0"/>
        <w:rPr>
          <w:rFonts w:hint="eastAsia"/>
          <w:color w:val="FF0000"/>
        </w:rPr>
      </w:pPr>
      <w:r>
        <w:rPr>
          <w:rFonts w:hint="eastAsia"/>
          <w:color w:val="FF0000"/>
        </w:rPr>
        <w:t>【技巧】好事调减，坏事调增。</w:t>
      </w:r>
    </w:p>
    <w:p>
      <w:pPr>
        <w:numPr>
          <w:ilvl w:val="0"/>
          <w:numId w:val="0"/>
        </w:numPr>
        <w:ind w:leftChars="0"/>
        <w:rPr>
          <w:rFonts w:hint="eastAsia"/>
        </w:rPr>
      </w:pPr>
    </w:p>
    <w:p>
      <w:pPr>
        <w:numPr>
          <w:ilvl w:val="0"/>
          <w:numId w:val="0"/>
        </w:numPr>
        <w:ind w:leftChars="0"/>
        <w:rPr>
          <w:rFonts w:hint="eastAsia"/>
          <w:color w:val="00B0F0"/>
        </w:rPr>
      </w:pPr>
      <w:r>
        <w:rPr>
          <w:rFonts w:hint="eastAsia"/>
          <w:color w:val="00B0F0"/>
        </w:rPr>
        <w:t>补充资料中列示的全部是“坏事”，所以要调增；而如果是括号中反方向的变动，则是“好</w:t>
      </w:r>
    </w:p>
    <w:p>
      <w:pPr>
        <w:numPr>
          <w:ilvl w:val="0"/>
          <w:numId w:val="0"/>
        </w:numPr>
        <w:ind w:leftChars="0"/>
        <w:rPr>
          <w:rFonts w:hint="eastAsia"/>
          <w:color w:val="00B0F0"/>
        </w:rPr>
      </w:pPr>
      <w:r>
        <w:rPr>
          <w:rFonts w:hint="eastAsia"/>
          <w:color w:val="00B0F0"/>
        </w:rPr>
        <w:t>事”，要调减。</w:t>
      </w:r>
    </w:p>
    <w:p>
      <w:pPr>
        <w:numPr>
          <w:ilvl w:val="0"/>
          <w:numId w:val="0"/>
        </w:numPr>
        <w:ind w:leftChars="0"/>
        <w:rPr>
          <w:rFonts w:hint="eastAsia"/>
        </w:rPr>
      </w:pPr>
    </w:p>
    <w:p>
      <w:pPr>
        <w:numPr>
          <w:ilvl w:val="0"/>
          <w:numId w:val="0"/>
        </w:numPr>
        <w:ind w:leftChars="0"/>
        <w:rPr>
          <w:rFonts w:hint="eastAsia"/>
        </w:rPr>
      </w:pPr>
      <w:r>
        <w:rPr>
          <w:rFonts w:hint="eastAsia"/>
        </w:rPr>
        <w:t>8、所有者权益变动表的概念：所有者权益变动表，是指反映构成所有者权益各组成部分当期增减变动情况的报表。</w:t>
      </w:r>
    </w:p>
    <w:p>
      <w:pPr>
        <w:numPr>
          <w:ilvl w:val="0"/>
          <w:numId w:val="0"/>
        </w:numPr>
        <w:ind w:leftChars="0"/>
        <w:rPr>
          <w:rFonts w:hint="eastAsia"/>
        </w:rPr>
      </w:pPr>
    </w:p>
    <w:p>
      <w:pPr>
        <w:numPr>
          <w:ilvl w:val="0"/>
          <w:numId w:val="0"/>
        </w:numPr>
        <w:ind w:leftChars="0"/>
        <w:rPr>
          <w:rFonts w:hint="eastAsia"/>
        </w:rPr>
      </w:pPr>
      <w:r>
        <w:rPr>
          <w:rFonts w:hint="eastAsia"/>
        </w:rPr>
        <w:t>9. 在所有者权益变动表上，企业至少应当</w:t>
      </w:r>
      <w:r>
        <w:rPr>
          <w:rFonts w:hint="eastAsia"/>
          <w:color w:val="FF0000"/>
        </w:rPr>
        <w:t>单独列示反映</w:t>
      </w:r>
      <w:r>
        <w:rPr>
          <w:rFonts w:hint="eastAsia"/>
        </w:rPr>
        <w:t>下列信息的项目：</w:t>
      </w:r>
    </w:p>
    <w:p>
      <w:pPr>
        <w:numPr>
          <w:ilvl w:val="0"/>
          <w:numId w:val="0"/>
        </w:numPr>
        <w:ind w:leftChars="0"/>
        <w:rPr>
          <w:rFonts w:hint="eastAsia"/>
        </w:rPr>
      </w:pPr>
    </w:p>
    <w:p>
      <w:pPr>
        <w:numPr>
          <w:ilvl w:val="0"/>
          <w:numId w:val="0"/>
        </w:numPr>
        <w:ind w:leftChars="0"/>
        <w:rPr>
          <w:rFonts w:hint="eastAsia"/>
          <w:color w:val="00B0F0"/>
        </w:rPr>
      </w:pPr>
      <w:r>
        <w:rPr>
          <w:rFonts w:hint="eastAsia"/>
          <w:color w:val="00B0F0"/>
        </w:rPr>
        <w:t>（1）综合收益总额；</w:t>
      </w:r>
    </w:p>
    <w:p>
      <w:pPr>
        <w:numPr>
          <w:ilvl w:val="0"/>
          <w:numId w:val="0"/>
        </w:numPr>
        <w:ind w:leftChars="0"/>
        <w:rPr>
          <w:rFonts w:hint="eastAsia"/>
        </w:rPr>
      </w:pPr>
    </w:p>
    <w:p>
      <w:pPr>
        <w:numPr>
          <w:ilvl w:val="0"/>
          <w:numId w:val="0"/>
        </w:numPr>
        <w:ind w:leftChars="0"/>
        <w:rPr>
          <w:rFonts w:hint="eastAsia"/>
        </w:rPr>
      </w:pPr>
      <w:r>
        <w:rPr>
          <w:rFonts w:hint="eastAsia"/>
          <w:color w:val="00B0F0"/>
          <w:lang w:eastAsia="zh-CN"/>
        </w:rPr>
        <w:t>（</w:t>
      </w:r>
      <w:r>
        <w:rPr>
          <w:rFonts w:hint="eastAsia"/>
          <w:color w:val="00B0F0"/>
          <w:lang w:val="en-US" w:eastAsia="zh-CN"/>
        </w:rPr>
        <w:t>2</w:t>
      </w:r>
      <w:r>
        <w:rPr>
          <w:rFonts w:hint="eastAsia"/>
          <w:color w:val="00B0F0"/>
          <w:lang w:eastAsia="zh-CN"/>
        </w:rPr>
        <w:t>）</w:t>
      </w:r>
      <w:r>
        <w:rPr>
          <w:rFonts w:hint="eastAsia"/>
          <w:color w:val="FF0000"/>
        </w:rPr>
        <w:t>会计政策变更</w:t>
      </w:r>
      <w:r>
        <w:rPr>
          <w:rFonts w:hint="eastAsia"/>
        </w:rPr>
        <w:t>和</w:t>
      </w:r>
      <w:r>
        <w:rPr>
          <w:rFonts w:hint="eastAsia"/>
          <w:color w:val="FF0000"/>
        </w:rPr>
        <w:t>差错更正</w:t>
      </w:r>
      <w:r>
        <w:rPr>
          <w:rFonts w:hint="eastAsia"/>
        </w:rPr>
        <w:t xml:space="preserve">的累积影响金额； </w:t>
      </w:r>
      <w:r>
        <w:rPr>
          <w:rFonts w:hint="eastAsia"/>
          <w:color w:val="00B050"/>
        </w:rPr>
        <w:t xml:space="preserve"> （无会计估计变更）</w:t>
      </w:r>
    </w:p>
    <w:p>
      <w:pPr>
        <w:numPr>
          <w:ilvl w:val="0"/>
          <w:numId w:val="0"/>
        </w:numPr>
        <w:ind w:leftChars="0"/>
        <w:rPr>
          <w:rFonts w:hint="eastAsia"/>
        </w:rPr>
      </w:pPr>
    </w:p>
    <w:p>
      <w:pPr>
        <w:numPr>
          <w:ilvl w:val="0"/>
          <w:numId w:val="0"/>
        </w:numPr>
        <w:ind w:leftChars="0"/>
        <w:rPr>
          <w:rFonts w:hint="eastAsia"/>
          <w:color w:val="00B0F0"/>
        </w:rPr>
      </w:pPr>
      <w:r>
        <w:rPr>
          <w:rFonts w:hint="eastAsia"/>
          <w:color w:val="00B0F0"/>
        </w:rPr>
        <w:t>（3）所有者投入资本和向所有者分配利润等；</w:t>
      </w:r>
    </w:p>
    <w:p>
      <w:pPr>
        <w:numPr>
          <w:ilvl w:val="0"/>
          <w:numId w:val="0"/>
        </w:numPr>
        <w:ind w:leftChars="0"/>
        <w:rPr>
          <w:rFonts w:hint="eastAsia"/>
          <w:color w:val="00B0F0"/>
        </w:rPr>
      </w:pPr>
    </w:p>
    <w:p>
      <w:pPr>
        <w:numPr>
          <w:ilvl w:val="0"/>
          <w:numId w:val="0"/>
        </w:numPr>
        <w:ind w:leftChars="0"/>
        <w:rPr>
          <w:rFonts w:hint="eastAsia"/>
          <w:color w:val="00B0F0"/>
        </w:rPr>
      </w:pPr>
      <w:r>
        <w:rPr>
          <w:rFonts w:hint="eastAsia"/>
          <w:color w:val="00B0F0"/>
        </w:rPr>
        <w:t>（4）提取的盈余公积；</w:t>
      </w:r>
    </w:p>
    <w:p>
      <w:pPr>
        <w:numPr>
          <w:ilvl w:val="0"/>
          <w:numId w:val="0"/>
        </w:numPr>
        <w:ind w:leftChars="0"/>
        <w:rPr>
          <w:rFonts w:hint="eastAsia"/>
          <w:color w:val="00B0F0"/>
        </w:rPr>
      </w:pPr>
    </w:p>
    <w:p>
      <w:pPr>
        <w:numPr>
          <w:ilvl w:val="0"/>
          <w:numId w:val="0"/>
        </w:numPr>
        <w:ind w:leftChars="0"/>
        <w:rPr>
          <w:rFonts w:hint="eastAsia"/>
          <w:color w:val="00B0F0"/>
        </w:rPr>
      </w:pPr>
      <w:r>
        <w:rPr>
          <w:rFonts w:hint="eastAsia"/>
          <w:color w:val="00B0F0"/>
        </w:rPr>
        <w:t>（5）实收资本或资本公积、其他权益工具、盈余公积、未分配利润的期初和期末余额及其调节情况</w:t>
      </w:r>
    </w:p>
    <w:sectPr>
      <w:pgSz w:w="11907" w:h="16841"/>
      <w:pgMar w:top="1431" w:right="868" w:bottom="0" w:left="108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21CB6A"/>
    <w:multiLevelType w:val="singleLevel"/>
    <w:tmpl w:val="A321CB6A"/>
    <w:lvl w:ilvl="0" w:tentative="0">
      <w:start w:val="8"/>
      <w:numFmt w:val="decimal"/>
      <w:suff w:val="nothing"/>
      <w:lvlText w:val="%1、"/>
      <w:lvlJc w:val="left"/>
    </w:lvl>
  </w:abstractNum>
  <w:abstractNum w:abstractNumId="1">
    <w:nsid w:val="B6F08760"/>
    <w:multiLevelType w:val="singleLevel"/>
    <w:tmpl w:val="B6F08760"/>
    <w:lvl w:ilvl="0" w:tentative="0">
      <w:start w:val="12"/>
      <w:numFmt w:val="decimal"/>
      <w:suff w:val="nothing"/>
      <w:lvlText w:val="%1、"/>
      <w:lvlJc w:val="left"/>
    </w:lvl>
  </w:abstractNum>
  <w:abstractNum w:abstractNumId="2">
    <w:nsid w:val="16A26940"/>
    <w:multiLevelType w:val="singleLevel"/>
    <w:tmpl w:val="16A26940"/>
    <w:lvl w:ilvl="0" w:tentative="0">
      <w:start w:val="3"/>
      <w:numFmt w:val="decimal"/>
      <w:suff w:val="nothing"/>
      <w:lvlText w:val="%1、"/>
      <w:lvlJc w:val="left"/>
    </w:lvl>
  </w:abstractNum>
  <w:abstractNum w:abstractNumId="3">
    <w:nsid w:val="23F9E029"/>
    <w:multiLevelType w:val="singleLevel"/>
    <w:tmpl w:val="23F9E029"/>
    <w:lvl w:ilvl="0" w:tentative="0">
      <w:start w:val="4"/>
      <w:numFmt w:val="decimal"/>
      <w:suff w:val="space"/>
      <w:lvlText w:val="%1、"/>
      <w:lvlJc w:val="left"/>
    </w:lvl>
  </w:abstractNum>
  <w:abstractNum w:abstractNumId="4">
    <w:nsid w:val="27A9884D"/>
    <w:multiLevelType w:val="singleLevel"/>
    <w:tmpl w:val="27A9884D"/>
    <w:lvl w:ilvl="0" w:tentative="0">
      <w:start w:val="8"/>
      <w:numFmt w:val="decimal"/>
      <w:suff w:val="space"/>
      <w:lvlText w:val="%1、"/>
      <w:lvlJc w:val="left"/>
    </w:lvl>
  </w:abstractNum>
  <w:abstractNum w:abstractNumId="5">
    <w:nsid w:val="33DAD749"/>
    <w:multiLevelType w:val="singleLevel"/>
    <w:tmpl w:val="33DAD749"/>
    <w:lvl w:ilvl="0" w:tentative="0">
      <w:start w:val="4"/>
      <w:numFmt w:val="decimal"/>
      <w:suff w:val="nothing"/>
      <w:lvlText w:val="%1、"/>
      <w:lvlJc w:val="left"/>
    </w:lvl>
  </w:abstractNum>
  <w:abstractNum w:abstractNumId="6">
    <w:nsid w:val="5286FF70"/>
    <w:multiLevelType w:val="singleLevel"/>
    <w:tmpl w:val="5286FF70"/>
    <w:lvl w:ilvl="0" w:tentative="0">
      <w:start w:val="1"/>
      <w:numFmt w:val="decimal"/>
      <w:suff w:val="nothing"/>
      <w:lvlText w:val="（%1）"/>
      <w:lvlJc w:val="left"/>
    </w:lvl>
  </w:abstractNum>
  <w:num w:numId="1">
    <w:abstractNumId w:val="4"/>
  </w:num>
  <w:num w:numId="2">
    <w:abstractNumId w:val="5"/>
  </w:num>
  <w:num w:numId="3">
    <w:abstractNumId w:val="1"/>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DI5YTc0Y2ExNDdlMTE2NTZhNDI5OThiOWU3NDlkMDMifQ=="/>
  </w:docVars>
  <w:rsids>
    <w:rsidRoot w:val="00000000"/>
    <w:rsid w:val="02977913"/>
    <w:rsid w:val="1FAC62AE"/>
    <w:rsid w:val="40EB42EC"/>
    <w:rsid w:val="42BB64D4"/>
    <w:rsid w:val="447701D6"/>
    <w:rsid w:val="4D8502C3"/>
    <w:rsid w:val="5EC01A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4"/>
      <w:szCs w:val="24"/>
      <w:lang w:val="en-US" w:eastAsia="en-US"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微软雅黑" w:hAnsi="微软雅黑" w:eastAsia="微软雅黑" w:cs="微软雅黑"/>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2023-11-28T05:47:00Z</dcterms:created>
  <dc:creator>小楠菇凉</dc:creator>
  <cp:lastModifiedBy>侯景丽</cp:lastModifiedBy>
  <dcterms:modified xsi:type="dcterms:W3CDTF">2023-12-21T03:18:51Z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2023-11-27T16:02:58Z</vt:filetime>
  </property>
  <property fmtid="{D5CDD505-2E9C-101B-9397-08002B2CF9AE}" pid="4" name="KSOProductBuildVer">
    <vt:lpwstr>2052-12.1.0.15990</vt:lpwstr>
  </property>
  <property fmtid="{D5CDD505-2E9C-101B-9397-08002B2CF9AE}" pid="5" name="ICV">
    <vt:lpwstr>CA465E0338FC4259ACCFAAE3526634CF_13</vt:lpwstr>
  </property>
</Properties>
</file>