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922AC66A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2025年3月军事理论时政要点(详细）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一、中国国防建设与区域安全布局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1. 国防预算与新域作战力量发展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2025年国防预算1.81万亿元（同比增7.2%），重点投向人工智能、高超音速武器、无人作战系统等新域新质作战领域。国防部明确表示，预算增长旨在应对台海、南海等方向的现实安全威胁，新质力量建设直接服务于“体系化威慑”战略，例如无人机蜂群作战、太空通信中继系统等已进入实战化部署阶段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2. 台海与周边军事行动的战略信号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解放军在台海附近开展多军种联合演习，演练科目涵盖封锁制海、电子对抗及跨海登陆，东部战区发言人强调“演习即备战，针对‘台独’分裂行径绝不姑息”。同时，海军第47批护航编队在亚丁湾完成6次商船护航任务，与巴基斯坦、肯尼亚海军开展反海盗联合演练，展现中国维护国际航道安全的常态化能力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3. 国防法规与军民融合深化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新修订的“三大条令”（《内务条令》《纪律条令》《队列条令》）首次将“新质作战力量战备规范”单列章节，要求部队在日常训练中嵌入无人装备协同、网络电磁对抗等内容。《重要军工设施保护条例》则明确划定航母基地、导弹试验场等核心设施的安全保护区，配套建立军民联合安保机制，2024年军民融合技术转化带来的经济效益超1.2万亿元。</w:t>
      </w:r>
    </w:p>
    <w:p w14:paraId="2E6D877E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二、中东与俄乌冲突的升级与博弈</w:t>
      </w:r>
    </w:p>
    <w:p w14:paraId="54B7B6AA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1. 中东：美伊对抗与代理人战争激化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沙军售协议的双重逻辑：美国与沙特签署1420亿美元军售协议，包括“萨德”反导系统升级、F-35战机备件供应等，表面是强化中东盟友体系，实则通过军售绑定沙特在石油政策上配合美国通胀削减法案。但协议执行存在变数，沙特要求美国同步施压以色列重启巴以和谈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胡塞武装的跨境袭击：也门胡塞武装使用伊朗提供的“波斯湾”反舰导弹袭击特拉维夫机场，虽未造成重大伤亡，但打破以色列“本土绝对安全”的神话，以色列随后对也门荷台达港发动空袭，美英军舰在红海加强巡逻，地区局势濒临失控。</w:t>
      </w:r>
    </w:p>
    <w:p w14:paraId="684C856A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2. 俄乌冲突：资源博弈与国际干预加深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向乌克兰提交矿产协议草案，允许美企在乌开采稀土、铁矿等战略资源，换取200亿美元军事援助，协议附带条款要求乌方放弃部分资源税收主权，引发乌国内反对派抗议。俄罗斯则加速在顿巴斯地区推进“临时管理机构”建设，要求当地居民使用卢布结算并纳入俄医保体系，实质推动区域“俄化”。</w:t>
      </w:r>
    </w:p>
    <w:p w14:paraId="73599AB6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三、大国军事战略与全球安全秩序重构</w:t>
      </w:r>
    </w:p>
    <w:p w14:paraId="7CF1E2B3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1. 美国“印太战略”的军事化倾向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在亚太推动“联合全域指挥控制”（JADC2）系统建设，与日本、澳大利亚共享关岛导弹预警数据，同时批准向菲律宾出售F-16战机，计划在吕宋岛新建4个军事基地，直接针对南海和台海方向。美军“卡尔·文森”号航母抵达波斯湾后，又调派“里根”号航母前往南海，形成“东西呼应”的军事威慑态势。</w:t>
      </w:r>
    </w:p>
    <w:p w14:paraId="F6F7E4B1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2. 中俄伊战略协作的机制化进展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“安全纽带-2025”联合演习中，中俄伊首次演练海上联合防空反导，中方包头舰搭载的舰载无人机与俄舰“口径”导弹实现目标数据共享，演习区域覆盖霍尔木兹海峡80%的油轮航道。伊朗借此向美国释放信号：若重启对伊制裁，将联合中俄封锁石油运输通道。哈梅内伊公开表示，伊朗已掌握“摧毁美军在中东所有基地”的导弹技术。</w:t>
      </w:r>
    </w:p>
    <w:p w14:paraId="0136E1AC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四、地区热点与非传统安全挑战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1. 苏丹内战：人道主义危机与外部干预风险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苏丹武装部队与快速支援部队在喀土穆、达尔富尔地区持续交火，联合国数据显示，冲突已导致2.97万人死亡，1290万人流离失所，其中40%为儿童。埃及、沙特秘密向布尔汉部队提供武器支持，埃塞俄比亚则暗中支持快速支援部队，地区大国博弈加剧内战复杂性。</w:t>
      </w:r>
    </w:p>
    <w:p w14:paraId="D655EEBE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2. 国际刑事法院逮捕令引发的外交风波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海牙国际刑事法院对普京发出逮捕令后，俄罗斯立即宣布退出《罗马规约》，并召见12个承认该法院管辖权的国家大使提出抗议。中国、印度等国表态反对将国际司法工具政治化，南非拒绝执行逮捕令，暴露国际社会在俄乌问题上的分裂立场。</w:t>
      </w:r>
    </w:p>
    <w:p w14:paraId="3265F381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五、军事技术竞争与安全新威胁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1. 中美在人工智能军事应用的竞赛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国国防科技工业2024年专利申请中，AI军事应用相关专利占比达37%，包括战场智能决策系统、无人机自主编队算法等；美国同期发布《生成式AI与国家安全》战略文件，计划投入200亿美元开发AI驱动的武器系统，双方在算法攻防、数据主权领域的竞争日趋激烈。</w:t>
      </w:r>
    </w:p>
    <w:p w14:paraId="6EBDA2FF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2. 民用航空安全事件背后的军事化风险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美国华盛顿里根机场附近客机与军机险些相撞事件，调查显示美军F-16战机当时正在执行“首都防空识别区”巡逻任务，因通信频率冲突未及时避让民航机。事件暴露美军在人口密集区开展军事活动的安全隐患，倒逼联邦航空管理局重新划定训练空域。</w:t>
      </w:r>
      <w:bookmarkStart w:id="0" w:name="_GoBack"/>
      <w:bookmarkEnd w:id="0"/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总结：多极化格局下的安全困境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2025年3月的全球安全态势呈现“对抗与协作并存、传统与非传统威胁交织”的特点：中国通过国防现代化与多边合作提升战略主动权，美国试图以军事同盟维持霸权，但中东、俄乌等地的代理人战争消耗其战略资源；地区国家在大国博弈中寻求平衡，而军事技术扩散与国际司法政治化进一步加剧秩序裂痕。如何在威慑与对话之间建立平衡，仍是破解全球安全困境的关键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  <w:rsid w:val="26C9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8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1952</Words>
  <Characters>2027</Characters>
  <Lines>0</Lines>
  <Paragraphs>0</Paragraphs>
  <TotalTime>3</TotalTime>
  <ScaleCrop>false</ScaleCrop>
  <LinksUpToDate>false</LinksUpToDate>
  <CharactersWithSpaces>2052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2020-07-21T13:27:00Z</dcterms:created>
  <dc:creator>T148778</dc:creator>
  <cp:lastModifiedBy>徐昊</cp:lastModifiedBy>
  <dcterms:modified xsi:type="dcterms:W3CDTF">2025-06-19T01:00:38Z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eyJoZGlkIjoiNDI1NjBiNDVkZDllNTc4NGZmZGUyNDEwNWZiN2UwNDgiLCJ1c2VySWQiOiIxMzI2MTYxOTk4In0=</vt:lpwstr>
  </property>
  <property fmtid="{D5CDD505-2E9C-101B-9397-08002B2CF9AE}" pid="3" name="KSOProductBuildVer">
    <vt:lpwstr>2052-12.1.0.21171</vt:lpwstr>
  </property>
  <property fmtid="{D5CDD505-2E9C-101B-9397-08002B2CF9AE}" pid="4" name="ICV">
    <vt:lpwstr>55112F7B723F4A7DB61E34A31E3C8ED6_12</vt:lpwstr>
  </property>
</Properties>
</file>